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AD" w:rsidRPr="00C55C4D"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wskaźników na poziomie projektu </w:t>
      </w:r>
    </w:p>
    <w:p w:rsidR="009D3C56" w:rsidRPr="00C55C4D" w:rsidRDefault="00332CDB" w:rsidP="00332CDB">
      <w:pPr>
        <w:rPr>
          <w:rFonts w:asciiTheme="minorHAnsi" w:hAnsiTheme="minorHAnsi"/>
          <w:b/>
          <w:sz w:val="24"/>
          <w:szCs w:val="24"/>
        </w:rPr>
      </w:pPr>
      <w:r w:rsidRPr="00C55C4D">
        <w:rPr>
          <w:rFonts w:asciiTheme="minorHAnsi" w:hAnsiTheme="minorHAnsi" w:cs="Calibri"/>
          <w:b/>
          <w:sz w:val="24"/>
          <w:szCs w:val="24"/>
        </w:rPr>
        <w:t xml:space="preserve">                       </w:t>
      </w:r>
      <w:r w:rsidR="009D3C56" w:rsidRPr="00C55C4D">
        <w:rPr>
          <w:rFonts w:asciiTheme="minorHAnsi" w:hAnsiTheme="minorHAnsi" w:cs="Calibri"/>
          <w:b/>
          <w:sz w:val="24"/>
          <w:szCs w:val="24"/>
        </w:rPr>
        <w:t xml:space="preserve">dla działania </w:t>
      </w:r>
      <w:r w:rsidRPr="00C55C4D">
        <w:rPr>
          <w:rFonts w:asciiTheme="minorHAnsi" w:hAnsiTheme="minorHAnsi" w:cs="Calibri"/>
          <w:b/>
          <w:sz w:val="24"/>
          <w:szCs w:val="24"/>
        </w:rPr>
        <w:t>1.</w:t>
      </w:r>
      <w:r w:rsidR="007127DD" w:rsidRPr="00C55C4D">
        <w:rPr>
          <w:rFonts w:asciiTheme="minorHAnsi" w:hAnsiTheme="minorHAnsi" w:cs="Calibri"/>
          <w:b/>
          <w:sz w:val="24"/>
          <w:szCs w:val="24"/>
        </w:rPr>
        <w:t>2</w:t>
      </w:r>
      <w:r w:rsidR="00476947" w:rsidRPr="00C55C4D">
        <w:rPr>
          <w:rFonts w:asciiTheme="minorHAnsi" w:hAnsiTheme="minorHAnsi" w:cs="Calibri"/>
          <w:b/>
          <w:sz w:val="24"/>
          <w:szCs w:val="24"/>
        </w:rPr>
        <w:t>.</w:t>
      </w:r>
      <w:r w:rsidR="008F1A47" w:rsidRPr="00C55C4D">
        <w:rPr>
          <w:rFonts w:asciiTheme="minorHAnsi" w:hAnsiTheme="minorHAnsi" w:cs="Arial"/>
          <w:b/>
          <w:sz w:val="24"/>
          <w:szCs w:val="24"/>
        </w:rPr>
        <w:t>C.</w:t>
      </w:r>
      <w:r w:rsidR="0075310C" w:rsidRPr="00C55C4D">
        <w:rPr>
          <w:rFonts w:asciiTheme="minorHAnsi" w:hAnsiTheme="minorHAnsi" w:cs="Arial"/>
          <w:b/>
          <w:sz w:val="24"/>
          <w:szCs w:val="24"/>
        </w:rPr>
        <w:t>b</w:t>
      </w:r>
      <w:r w:rsidR="0075310C" w:rsidRPr="00C55C4D">
        <w:rPr>
          <w:rFonts w:asciiTheme="minorHAnsi" w:hAnsiTheme="minorHAnsi" w:cs="Arial"/>
          <w:sz w:val="24"/>
          <w:szCs w:val="24"/>
        </w:rPr>
        <w:t xml:space="preserve"> </w:t>
      </w:r>
      <w:r w:rsidRPr="00C55C4D">
        <w:rPr>
          <w:rFonts w:asciiTheme="minorHAnsi" w:hAnsiTheme="minorHAnsi" w:cs="Arial"/>
          <w:b/>
          <w:sz w:val="24"/>
          <w:szCs w:val="24"/>
        </w:rPr>
        <w:t>Rozwój przedsiębiorczości</w:t>
      </w:r>
      <w:r w:rsidRPr="00C55C4D">
        <w:rPr>
          <w:rFonts w:asciiTheme="minorHAnsi" w:hAnsiTheme="minorHAnsi" w:cs="Arial"/>
          <w:sz w:val="24"/>
          <w:szCs w:val="24"/>
        </w:rPr>
        <w:t xml:space="preserve"> </w:t>
      </w:r>
      <w:r w:rsidR="00EA68D3" w:rsidRPr="00C55C4D">
        <w:rPr>
          <w:rFonts w:asciiTheme="minorHAnsi" w:hAnsiTheme="minorHAnsi" w:cs="Calibri"/>
          <w:b/>
          <w:sz w:val="24"/>
          <w:szCs w:val="24"/>
        </w:rPr>
        <w:t>RPO WD 2014-2020</w:t>
      </w:r>
    </w:p>
    <w:p w:rsidR="00CF69D1" w:rsidRPr="00C55C4D"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DF6D97">
      <w:pPr>
        <w:autoSpaceDE w:val="0"/>
        <w:autoSpaceDN w:val="0"/>
        <w:spacing w:before="120" w:after="120" w:line="240"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dobrać odpowiednie wskaźniki, produktu i rezultatu</w:t>
      </w:r>
      <w:r w:rsidRPr="00C55C4D">
        <w:rPr>
          <w:rFonts w:asciiTheme="minorHAnsi" w:eastAsiaTheme="minorHAnsi" w:hAnsiTheme="minorHAnsi" w:cs="Calibri"/>
          <w:szCs w:val="22"/>
          <w:lang w:eastAsia="en-US"/>
        </w:rPr>
        <w:t xml:space="preserve"> bezpośredniego. Muszą być logicznie powiązane z projektem i spójne. </w:t>
      </w:r>
    </w:p>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C55C4D"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DF6D97">
      <w:pPr>
        <w:spacing w:before="120" w:after="120" w:line="240" w:lineRule="auto"/>
        <w:jc w:val="both"/>
        <w:rPr>
          <w:rFonts w:asciiTheme="minorHAnsi" w:hAnsiTheme="minorHAnsi"/>
          <w:b/>
          <w:szCs w:val="22"/>
        </w:rPr>
      </w:pPr>
    </w:p>
    <w:p w:rsidR="00DF6D97" w:rsidRPr="00C55C4D" w:rsidRDefault="00DF6D97" w:rsidP="00DF6D97">
      <w:pPr>
        <w:spacing w:before="120" w:after="120" w:line="240"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 xml:space="preserve">horyzontalne </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dodatkowe – wskaźniki projektowe</w:t>
      </w:r>
    </w:p>
    <w:p w:rsidR="00DF6D97" w:rsidRPr="00C55C4D" w:rsidRDefault="00DF6D97" w:rsidP="00DF6D97">
      <w:pPr>
        <w:pStyle w:val="Akapitzlist"/>
        <w:spacing w:before="120" w:after="120" w:line="240" w:lineRule="auto"/>
        <w:ind w:left="720"/>
        <w:jc w:val="both"/>
        <w:rPr>
          <w:rFonts w:asciiTheme="minorHAnsi" w:hAnsiTheme="minorHAnsi"/>
          <w:b/>
          <w:szCs w:val="22"/>
        </w:rPr>
      </w:pPr>
    </w:p>
    <w:p w:rsidR="00DF6D97" w:rsidRPr="00C55C4D" w:rsidRDefault="00DF6D97" w:rsidP="00DF6D97">
      <w:pPr>
        <w:pStyle w:val="Nagwek1"/>
        <w:spacing w:before="120" w:after="120" w:line="240" w:lineRule="auto"/>
        <w:jc w:val="both"/>
        <w:rPr>
          <w:rFonts w:asciiTheme="minorHAnsi" w:hAnsiTheme="minorHAnsi"/>
          <w:sz w:val="22"/>
          <w:szCs w:val="22"/>
        </w:rPr>
      </w:pPr>
      <w:r w:rsidRPr="00C55C4D">
        <w:rPr>
          <w:rFonts w:asciiTheme="minorHAnsi" w:hAnsiTheme="minorHAnsi"/>
          <w:sz w:val="22"/>
          <w:szCs w:val="22"/>
        </w:rPr>
        <w:t>Wymagania w zakresie wskaźników w projekcie</w:t>
      </w:r>
    </w:p>
    <w:p w:rsidR="00DF6D97" w:rsidRPr="00C55C4D" w:rsidRDefault="00DF6D97" w:rsidP="00DF6D97">
      <w:pPr>
        <w:pStyle w:val="Default"/>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DF6D97">
      <w:pPr>
        <w:pStyle w:val="Default"/>
        <w:jc w:val="both"/>
        <w:rPr>
          <w:rFonts w:asciiTheme="minorHAnsi" w:eastAsiaTheme="minorHAnsi" w:hAnsiTheme="minorHAnsi" w:cs="Calibri"/>
          <w:sz w:val="22"/>
          <w:szCs w:val="22"/>
          <w:lang w:eastAsia="en-US"/>
        </w:rPr>
      </w:pPr>
    </w:p>
    <w:p w:rsidR="00DF6D97" w:rsidRPr="00C55C4D" w:rsidRDefault="00DF6D97" w:rsidP="00DF6D97">
      <w:pPr>
        <w:pStyle w:val="Default"/>
        <w:jc w:val="both"/>
        <w:rPr>
          <w:rFonts w:asciiTheme="minorHAnsi" w:hAnsiTheme="minorHAnsi"/>
          <w:b/>
          <w:sz w:val="22"/>
          <w:szCs w:val="22"/>
        </w:rPr>
      </w:pPr>
      <w:r w:rsidRPr="00C55C4D">
        <w:rPr>
          <w:rFonts w:asciiTheme="minorHAnsi" w:eastAsiaTheme="minorHAnsi" w:hAnsiTheme="minorHAnsi" w:cs="Calibri"/>
          <w:sz w:val="22"/>
          <w:szCs w:val="22"/>
          <w:lang w:eastAsia="en-US"/>
        </w:rPr>
        <w:t xml:space="preserve"> </w:t>
      </w: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8B73B1">
      <w:pPr>
        <w:autoSpaceDE w:val="0"/>
        <w:autoSpaceDN w:val="0"/>
        <w:adjustRightInd w:val="0"/>
        <w:spacing w:line="240" w:lineRule="auto"/>
        <w:ind w:firstLine="708"/>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C55C4D" w:rsidRDefault="00DF6D97" w:rsidP="00DF6D97">
      <w:pPr>
        <w:pStyle w:val="Default"/>
        <w:jc w:val="both"/>
        <w:rPr>
          <w:rFonts w:asciiTheme="minorHAnsi" w:hAnsiTheme="minorHAnsi"/>
          <w:sz w:val="22"/>
          <w:szCs w:val="22"/>
          <w:highlight w:val="yellow"/>
        </w:rPr>
      </w:pPr>
      <w:r w:rsidRPr="00C55C4D">
        <w:rPr>
          <w:rFonts w:asciiTheme="minorHAnsi" w:hAnsiTheme="minorHAnsi"/>
          <w:sz w:val="22"/>
          <w:szCs w:val="22"/>
        </w:rPr>
        <w:t>Jako źródło informacji o wskaźniku wskazać należy odpowiedni dokument</w:t>
      </w:r>
      <w:r w:rsidR="00871F22" w:rsidRPr="00C55C4D">
        <w:rPr>
          <w:rFonts w:asciiTheme="minorHAnsi" w:hAnsiTheme="minorHAnsi"/>
          <w:sz w:val="22"/>
          <w:szCs w:val="22"/>
        </w:rPr>
        <w:t>.</w:t>
      </w:r>
    </w:p>
    <w:p w:rsidR="00DF6D97" w:rsidRPr="00C55C4D" w:rsidRDefault="00DF6D97" w:rsidP="00DF6D97">
      <w:pPr>
        <w:autoSpaceDE w:val="0"/>
        <w:autoSpaceDN w:val="0"/>
        <w:adjustRightInd w:val="0"/>
        <w:spacing w:before="120" w:after="120" w:line="240"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7127DD" w:rsidRPr="00C55C4D">
        <w:rPr>
          <w:rFonts w:asciiTheme="minorHAnsi" w:hAnsiTheme="minorHAnsi"/>
          <w:szCs w:val="22"/>
        </w:rPr>
        <w:t>2</w:t>
      </w:r>
      <w:r w:rsidR="008F1A47" w:rsidRPr="00C55C4D">
        <w:rPr>
          <w:rFonts w:asciiTheme="minorHAnsi" w:hAnsiTheme="minorHAnsi"/>
          <w:szCs w:val="22"/>
        </w:rPr>
        <w:t>.C.</w:t>
      </w:r>
      <w:r w:rsidR="007127DD" w:rsidRPr="00C55C4D">
        <w:rPr>
          <w:rFonts w:asciiTheme="minorHAnsi" w:hAnsiTheme="minorHAnsi"/>
          <w:szCs w:val="22"/>
        </w:rPr>
        <w:t>b</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40"/>
        <w:gridCol w:w="829"/>
        <w:gridCol w:w="4421"/>
        <w:gridCol w:w="1762"/>
      </w:tblGrid>
      <w:tr w:rsidR="00C55C4D" w:rsidRPr="00C55C4D" w:rsidTr="00EE4C8C">
        <w:trPr>
          <w:cantSplit/>
          <w:trHeight w:val="20"/>
          <w:jc w:val="center"/>
        </w:trPr>
        <w:tc>
          <w:tcPr>
            <w:tcW w:w="1127" w:type="pct"/>
            <w:shd w:val="clear" w:color="auto" w:fill="auto"/>
            <w:vAlign w:val="center"/>
          </w:tcPr>
          <w:p w:rsidR="005657D8" w:rsidRPr="00C55C4D" w:rsidRDefault="005657D8" w:rsidP="00EE4C8C">
            <w:pPr>
              <w:spacing w:before="0" w:line="240" w:lineRule="auto"/>
              <w:jc w:val="center"/>
              <w:rPr>
                <w:rFonts w:asciiTheme="minorHAnsi" w:hAnsiTheme="minorHAnsi"/>
                <w:b/>
                <w:szCs w:val="22"/>
              </w:rPr>
            </w:pPr>
            <w:r w:rsidRPr="00C55C4D">
              <w:rPr>
                <w:rFonts w:asciiTheme="minorHAnsi" w:hAnsiTheme="minorHAnsi"/>
                <w:b/>
                <w:szCs w:val="22"/>
              </w:rPr>
              <w:t>Nazwa wskaźnika produktu</w:t>
            </w:r>
          </w:p>
        </w:tc>
        <w:tc>
          <w:tcPr>
            <w:tcW w:w="458"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Jednostka miary</w:t>
            </w:r>
          </w:p>
        </w:tc>
        <w:tc>
          <w:tcPr>
            <w:tcW w:w="2442" w:type="pct"/>
            <w:shd w:val="clear" w:color="auto" w:fill="auto"/>
            <w:vAlign w:val="center"/>
          </w:tcPr>
          <w:p w:rsidR="005657D8" w:rsidRPr="00C55C4D" w:rsidRDefault="005657D8" w:rsidP="00EE4C8C">
            <w:pPr>
              <w:suppressAutoHyphens/>
              <w:spacing w:before="0" w:line="240" w:lineRule="auto"/>
              <w:jc w:val="center"/>
              <w:rPr>
                <w:rFonts w:asciiTheme="minorHAnsi" w:hAnsiTheme="minorHAnsi"/>
                <w:b/>
                <w:szCs w:val="22"/>
              </w:rPr>
            </w:pPr>
            <w:r w:rsidRPr="00C55C4D">
              <w:rPr>
                <w:rFonts w:asciiTheme="minorHAnsi" w:hAnsiTheme="minorHAnsi"/>
                <w:b/>
                <w:bCs/>
                <w:szCs w:val="22"/>
              </w:rPr>
              <w:t>Definicja wskaźnika</w:t>
            </w:r>
          </w:p>
        </w:tc>
        <w:tc>
          <w:tcPr>
            <w:tcW w:w="973"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Rodzaj dokumentu, w</w:t>
            </w:r>
            <w:r w:rsidR="007E025A" w:rsidRPr="00C55C4D">
              <w:rPr>
                <w:rFonts w:asciiTheme="minorHAnsi" w:hAnsiTheme="minorHAnsi"/>
                <w:b/>
                <w:bCs/>
                <w:szCs w:val="22"/>
              </w:rPr>
              <w:t> </w:t>
            </w:r>
            <w:r w:rsidRPr="00C55C4D">
              <w:rPr>
                <w:rFonts w:asciiTheme="minorHAnsi" w:hAnsiTheme="minorHAnsi"/>
                <w:b/>
                <w:bCs/>
                <w:szCs w:val="22"/>
              </w:rPr>
              <w:t>którym określono wskaźnik</w:t>
            </w:r>
          </w:p>
        </w:tc>
      </w:tr>
      <w:tr w:rsidR="00C55C4D" w:rsidRPr="00C55C4D" w:rsidTr="00EE4C8C">
        <w:trPr>
          <w:trHeight w:val="1121"/>
          <w:jc w:val="center"/>
        </w:trPr>
        <w:tc>
          <w:tcPr>
            <w:tcW w:w="1127" w:type="pct"/>
            <w:shd w:val="clear" w:color="auto" w:fill="auto"/>
          </w:tcPr>
          <w:p w:rsidR="000C57E0" w:rsidRPr="00C55C4D" w:rsidRDefault="00332CDB" w:rsidP="00EE4C8C">
            <w:pPr>
              <w:spacing w:before="0" w:line="240" w:lineRule="auto"/>
              <w:contextualSpacing/>
              <w:rPr>
                <w:rFonts w:asciiTheme="minorHAnsi" w:hAnsiTheme="minorHAnsi" w:cs="ArialNarrow"/>
              </w:rPr>
            </w:pPr>
            <w:r w:rsidRPr="00C55C4D">
              <w:rPr>
                <w:rFonts w:cs="Arial"/>
                <w:sz w:val="20"/>
              </w:rPr>
              <w:t>Liczba przedsiębiorstw otrzymujących wsparcie</w:t>
            </w:r>
          </w:p>
        </w:tc>
        <w:tc>
          <w:tcPr>
            <w:tcW w:w="458" w:type="pct"/>
          </w:tcPr>
          <w:p w:rsidR="00762973" w:rsidRPr="00C55C4D" w:rsidRDefault="00762973" w:rsidP="00762973">
            <w:pPr>
              <w:spacing w:before="0" w:line="240" w:lineRule="auto"/>
              <w:jc w:val="both"/>
              <w:rPr>
                <w:rFonts w:asciiTheme="minorHAnsi" w:hAnsiTheme="minorHAnsi" w:cs="ArialNarrow"/>
              </w:rPr>
            </w:pPr>
            <w:r w:rsidRPr="00C55C4D">
              <w:rPr>
                <w:rFonts w:asciiTheme="minorHAnsi" w:hAnsiTheme="minorHAnsi" w:cs="ArialNarrow"/>
              </w:rPr>
              <w:t>przedsiębio</w:t>
            </w:r>
            <w:r w:rsidR="00D20133" w:rsidRPr="00C55C4D">
              <w:rPr>
                <w:rFonts w:asciiTheme="minorHAnsi" w:hAnsiTheme="minorHAnsi" w:cs="ArialNarrow"/>
              </w:rPr>
              <w:t>rstwa</w:t>
            </w:r>
          </w:p>
          <w:p w:rsidR="000C57E0" w:rsidRPr="00C55C4D" w:rsidRDefault="000C57E0" w:rsidP="00EE4C8C">
            <w:pPr>
              <w:spacing w:before="0" w:line="240" w:lineRule="auto"/>
              <w:jc w:val="both"/>
              <w:rPr>
                <w:rFonts w:asciiTheme="minorHAnsi" w:hAnsiTheme="minorHAnsi"/>
                <w:szCs w:val="22"/>
              </w:rPr>
            </w:pPr>
          </w:p>
        </w:tc>
        <w:tc>
          <w:tcPr>
            <w:tcW w:w="2442" w:type="pct"/>
            <w:shd w:val="clear" w:color="auto" w:fill="auto"/>
          </w:tcPr>
          <w:p w:rsidR="00762973" w:rsidRPr="00C55C4D" w:rsidRDefault="00762973"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any form from Structural Funds (whether the support represents state aid or not). </w:t>
            </w:r>
          </w:p>
          <w:p w:rsidR="00762973" w:rsidRPr="00C55C4D" w:rsidRDefault="00762973" w:rsidP="00762973">
            <w:pPr>
              <w:spacing w:before="0" w:line="240" w:lineRule="auto"/>
              <w:rPr>
                <w:rFonts w:asciiTheme="minorHAnsi" w:hAnsiTheme="minorHAnsi"/>
                <w:szCs w:val="22"/>
                <w:lang w:val="en-US"/>
              </w:rPr>
            </w:pPr>
            <w:r w:rsidRPr="00C55C4D">
              <w:rPr>
                <w:rFonts w:asciiTheme="minorHAnsi" w:hAnsiTheme="minorHAnsi"/>
                <w:szCs w:val="22"/>
                <w:lang w:val="en-US"/>
              </w:rPr>
              <w:t>Enterprise: Organisation producing products or services to satisfy market needs in order to reach profit. The legal form of enterprise may be various (self-employed persons, partnerships, etc.).</w:t>
            </w:r>
          </w:p>
          <w:p w:rsidR="00762973" w:rsidRPr="00C55C4D" w:rsidRDefault="00762973" w:rsidP="00762973">
            <w:pPr>
              <w:spacing w:before="0" w:line="240" w:lineRule="auto"/>
              <w:rPr>
                <w:rFonts w:asciiTheme="minorHAnsi" w:hAnsiTheme="minorHAnsi"/>
                <w:szCs w:val="22"/>
                <w:lang w:val="en-US"/>
              </w:rPr>
            </w:pPr>
          </w:p>
          <w:p w:rsidR="00762973" w:rsidRPr="00C55C4D" w:rsidRDefault="00762973" w:rsidP="00762973">
            <w:pPr>
              <w:spacing w:before="0" w:line="240" w:lineRule="auto"/>
              <w:rPr>
                <w:rFonts w:asciiTheme="minorHAnsi" w:hAnsiTheme="minorHAnsi"/>
                <w:b/>
                <w:szCs w:val="22"/>
              </w:rPr>
            </w:pPr>
            <w:r w:rsidRPr="00C55C4D">
              <w:rPr>
                <w:rFonts w:asciiTheme="minorHAnsi" w:hAnsiTheme="minorHAnsi"/>
                <w:b/>
                <w:szCs w:val="22"/>
              </w:rPr>
              <w:t>Wersja robocza</w:t>
            </w:r>
            <w:r w:rsidR="00871F22" w:rsidRPr="00C55C4D">
              <w:rPr>
                <w:rFonts w:asciiTheme="minorHAnsi" w:hAnsiTheme="minorHAnsi"/>
                <w:b/>
                <w:szCs w:val="22"/>
              </w:rPr>
              <w:t>:</w:t>
            </w:r>
          </w:p>
          <w:p w:rsidR="00762973" w:rsidRPr="00C55C4D" w:rsidRDefault="00762973" w:rsidP="00762973">
            <w:pPr>
              <w:spacing w:before="0" w:line="240" w:lineRule="auto"/>
              <w:rPr>
                <w:rFonts w:asciiTheme="minorHAnsi" w:hAnsiTheme="minorHAnsi"/>
              </w:rPr>
            </w:pPr>
            <w:r w:rsidRPr="00C55C4D">
              <w:rPr>
                <w:rFonts w:asciiTheme="minorHAnsi" w:hAnsiTheme="minorHAnsi"/>
              </w:rPr>
              <w:t xml:space="preserve">Liczba przedsiębiorstw otrzymujących wsparcie w każdej formie z Europejskiego Funduszu Rozwoju Regionalnego (niezależnie czy wsparcie stanowi pomoc publiczną, czy nie). </w:t>
            </w:r>
          </w:p>
          <w:p w:rsidR="00795831" w:rsidRPr="00C55C4D" w:rsidRDefault="00795831" w:rsidP="00762973">
            <w:pPr>
              <w:spacing w:before="0" w:line="240" w:lineRule="auto"/>
              <w:rPr>
                <w:rFonts w:asciiTheme="minorHAnsi" w:hAnsiTheme="minorHAnsi" w:cs="Arial"/>
              </w:rPr>
            </w:pPr>
            <w:r w:rsidRPr="00C55C4D">
              <w:rPr>
                <w:rFonts w:asciiTheme="minorHAnsi" w:hAnsiTheme="minorHAnsi"/>
              </w:rPr>
              <w:t>Definicja p</w:t>
            </w:r>
            <w:r w:rsidR="00762973" w:rsidRPr="00C55C4D">
              <w:rPr>
                <w:rFonts w:asciiTheme="minorHAnsi" w:hAnsiTheme="minorHAnsi"/>
              </w:rPr>
              <w:t>rzedsiębiorstw</w:t>
            </w:r>
            <w:r w:rsidRPr="00C55C4D">
              <w:rPr>
                <w:rFonts w:asciiTheme="minorHAnsi" w:hAnsiTheme="minorHAnsi"/>
              </w:rPr>
              <w:t>a</w:t>
            </w:r>
            <w:r w:rsidR="00762973" w:rsidRPr="00C55C4D">
              <w:rPr>
                <w:rFonts w:asciiTheme="minorHAnsi" w:hAnsiTheme="minorHAnsi"/>
              </w:rPr>
              <w:t xml:space="preserve"> </w:t>
            </w:r>
            <w:r w:rsidRPr="00C55C4D">
              <w:rPr>
                <w:rFonts w:asciiTheme="minorHAnsi" w:hAnsiTheme="minorHAnsi"/>
              </w:rPr>
              <w:t xml:space="preserve">-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823B2B" w:rsidRDefault="00823B2B" w:rsidP="00762973">
            <w:pPr>
              <w:spacing w:before="0" w:line="240" w:lineRule="auto"/>
              <w:rPr>
                <w:rFonts w:asciiTheme="minorHAnsi" w:hAnsiTheme="minorHAnsi"/>
                <w:szCs w:val="22"/>
              </w:rPr>
            </w:pPr>
          </w:p>
          <w:p w:rsidR="00C40265" w:rsidRDefault="00C40265" w:rsidP="00762973">
            <w:pPr>
              <w:spacing w:before="0" w:line="240" w:lineRule="auto"/>
              <w:rPr>
                <w:rFonts w:asciiTheme="minorHAnsi" w:hAnsiTheme="minorHAnsi"/>
                <w:szCs w:val="22"/>
              </w:rPr>
            </w:pPr>
            <w:r>
              <w:rPr>
                <w:rFonts w:asciiTheme="minorHAnsi" w:hAnsiTheme="minorHAnsi"/>
                <w:szCs w:val="22"/>
              </w:rPr>
              <w:t>Sposób pomiaru:</w:t>
            </w:r>
          </w:p>
          <w:p w:rsidR="00C40265" w:rsidRDefault="00C40265" w:rsidP="00762973">
            <w:pPr>
              <w:spacing w:before="0" w:line="240" w:lineRule="auto"/>
              <w:rPr>
                <w:rFonts w:asciiTheme="minorHAnsi" w:hAnsiTheme="minorHAnsi"/>
                <w:szCs w:val="22"/>
              </w:rPr>
            </w:pPr>
            <w:r>
              <w:rPr>
                <w:rFonts w:asciiTheme="minorHAnsi" w:hAnsiTheme="minorHAnsi"/>
                <w:szCs w:val="22"/>
              </w:rPr>
              <w:t>W ramach wskaźnika Grantodawca wskazuje liczbę przedsiębiorstw (Grantobiorców), którym planuje udzielić wsparcia.</w:t>
            </w:r>
          </w:p>
          <w:p w:rsidR="00C40265" w:rsidRDefault="00C40265" w:rsidP="00762973">
            <w:pPr>
              <w:spacing w:before="0" w:line="240" w:lineRule="auto"/>
              <w:rPr>
                <w:rFonts w:asciiTheme="minorHAnsi" w:hAnsiTheme="minorHAnsi"/>
                <w:szCs w:val="22"/>
              </w:rPr>
            </w:pPr>
          </w:p>
          <w:p w:rsidR="00C40265" w:rsidRPr="00C40265" w:rsidRDefault="00C40265" w:rsidP="00C40265">
            <w:pPr>
              <w:suppressAutoHyphens/>
              <w:autoSpaceDN w:val="0"/>
              <w:spacing w:before="0" w:line="259" w:lineRule="auto"/>
              <w:jc w:val="both"/>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C40265" w:rsidRPr="00C55C4D" w:rsidRDefault="00C40265" w:rsidP="00762973">
            <w:pPr>
              <w:spacing w:before="0" w:line="240" w:lineRule="auto"/>
              <w:rPr>
                <w:rFonts w:asciiTheme="minorHAnsi" w:hAnsiTheme="minorHAnsi"/>
                <w:szCs w:val="22"/>
              </w:rPr>
            </w:pPr>
          </w:p>
          <w:p w:rsidR="00C40265" w:rsidRDefault="00762973" w:rsidP="00C40265">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wsparcie” występuje łącznie ze wskaźnikiem „Liczba przedsi</w:t>
            </w:r>
            <w:r w:rsidR="00C40265">
              <w:rPr>
                <w:rFonts w:asciiTheme="minorHAnsi" w:hAnsiTheme="minorHAnsi" w:cs="Arial"/>
                <w:szCs w:val="22"/>
              </w:rPr>
              <w:t>ębiorstw otrzymujących dotacje” oraz ”</w:t>
            </w:r>
            <w:r w:rsidR="00C40265" w:rsidRPr="00C55C4D">
              <w:rPr>
                <w:rFonts w:asciiTheme="minorHAnsi" w:hAnsiTheme="minorHAnsi" w:cs="Arial"/>
                <w:szCs w:val="22"/>
              </w:rPr>
              <w:t>Liczba przedsiębiorstw otrzymujących wsparcie niefinansowe</w:t>
            </w:r>
            <w:r w:rsidR="00C40265">
              <w:rPr>
                <w:rFonts w:asciiTheme="minorHAnsi" w:hAnsiTheme="minorHAnsi" w:cs="Arial"/>
                <w:szCs w:val="22"/>
              </w:rPr>
              <w:t xml:space="preserve">” </w:t>
            </w:r>
          </w:p>
          <w:p w:rsidR="00C063C7" w:rsidRDefault="00C063C7" w:rsidP="00E428FC">
            <w:pPr>
              <w:spacing w:before="0" w:line="240" w:lineRule="auto"/>
              <w:rPr>
                <w:rFonts w:asciiTheme="minorHAnsi" w:hAnsiTheme="minorHAnsi"/>
                <w:szCs w:val="22"/>
              </w:rPr>
            </w:pPr>
          </w:p>
          <w:p w:rsidR="00DF2FA3" w:rsidRPr="00DF2FA3" w:rsidRDefault="000434B4" w:rsidP="005E0C60">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sidR="005E0C60">
              <w:rPr>
                <w:rFonts w:asciiTheme="minorHAnsi" w:hAnsiTheme="minorHAnsi"/>
                <w:szCs w:val="22"/>
                <w:u w:val="single"/>
              </w:rPr>
              <w:t>u.</w:t>
            </w:r>
          </w:p>
        </w:tc>
        <w:tc>
          <w:tcPr>
            <w:tcW w:w="973" w:type="pct"/>
          </w:tcPr>
          <w:p w:rsidR="000C57E0" w:rsidRPr="00C55C4D" w:rsidRDefault="00332CDB"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C55C4D" w:rsidRPr="00C55C4D" w:rsidTr="00C40265">
        <w:trPr>
          <w:trHeight w:val="6949"/>
          <w:jc w:val="center"/>
        </w:trPr>
        <w:tc>
          <w:tcPr>
            <w:tcW w:w="1127" w:type="pct"/>
            <w:shd w:val="clear" w:color="auto" w:fill="auto"/>
          </w:tcPr>
          <w:p w:rsidR="000C57E0" w:rsidRPr="00C55C4D" w:rsidRDefault="00332CDB" w:rsidP="00EE4C8C">
            <w:pPr>
              <w:spacing w:before="0" w:line="240" w:lineRule="auto"/>
              <w:contextualSpacing/>
              <w:rPr>
                <w:rFonts w:asciiTheme="minorHAnsi" w:hAnsiTheme="minorHAnsi" w:cs="ArialNarrow"/>
              </w:rPr>
            </w:pPr>
            <w:r w:rsidRPr="00C55C4D">
              <w:rPr>
                <w:rFonts w:cs="Arial"/>
                <w:sz w:val="20"/>
              </w:rPr>
              <w:t>Liczba przedsiębiorstw otrzymujących dotacje</w:t>
            </w:r>
          </w:p>
        </w:tc>
        <w:tc>
          <w:tcPr>
            <w:tcW w:w="458" w:type="pct"/>
          </w:tcPr>
          <w:p w:rsidR="000C57E0" w:rsidRPr="00C55C4D" w:rsidRDefault="00762973" w:rsidP="00EE4C8C">
            <w:pPr>
              <w:spacing w:before="0" w:line="240" w:lineRule="auto"/>
              <w:jc w:val="both"/>
              <w:rPr>
                <w:rFonts w:asciiTheme="minorHAnsi" w:hAnsiTheme="minorHAnsi"/>
                <w:szCs w:val="22"/>
              </w:rPr>
            </w:pPr>
            <w:r w:rsidRPr="00C55C4D">
              <w:rPr>
                <w:rFonts w:asciiTheme="minorHAnsi" w:hAnsiTheme="minorHAnsi" w:cs="ArialNarrow"/>
                <w:szCs w:val="22"/>
              </w:rPr>
              <w:t>przedsiębiorstwa</w:t>
            </w:r>
          </w:p>
        </w:tc>
        <w:tc>
          <w:tcPr>
            <w:tcW w:w="2442" w:type="pct"/>
            <w:shd w:val="clear" w:color="auto" w:fill="auto"/>
          </w:tcPr>
          <w:p w:rsidR="00762973" w:rsidRPr="00C55C4D" w:rsidRDefault="00762973"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forms of non-refundable direct financial support conditional only to completion of project (grants). </w:t>
            </w:r>
          </w:p>
          <w:p w:rsidR="00762973" w:rsidRPr="00C55C4D" w:rsidRDefault="00762973" w:rsidP="00762973">
            <w:pPr>
              <w:spacing w:before="0" w:line="240" w:lineRule="auto"/>
              <w:rPr>
                <w:rFonts w:asciiTheme="minorHAnsi" w:hAnsiTheme="minorHAnsi"/>
                <w:szCs w:val="22"/>
                <w:lang w:val="en-US"/>
              </w:rPr>
            </w:pPr>
            <w:r w:rsidRPr="00C55C4D">
              <w:rPr>
                <w:rFonts w:asciiTheme="minorHAnsi" w:hAnsiTheme="minorHAnsi"/>
                <w:szCs w:val="22"/>
                <w:lang w:val="en-US"/>
              </w:rPr>
              <w:t>Subset of 'Number of enterprises receiving support.</w:t>
            </w:r>
          </w:p>
          <w:p w:rsidR="00762973" w:rsidRPr="00C55C4D" w:rsidRDefault="00762973" w:rsidP="00762973">
            <w:pPr>
              <w:spacing w:before="0" w:line="240" w:lineRule="auto"/>
              <w:rPr>
                <w:rFonts w:asciiTheme="minorHAnsi" w:hAnsiTheme="minorHAnsi"/>
                <w:szCs w:val="22"/>
                <w:lang w:val="en-US"/>
              </w:rPr>
            </w:pPr>
          </w:p>
          <w:p w:rsidR="00762973" w:rsidRPr="00C55C4D" w:rsidRDefault="00762973" w:rsidP="00762973">
            <w:pPr>
              <w:spacing w:before="0" w:line="240" w:lineRule="auto"/>
              <w:rPr>
                <w:rFonts w:asciiTheme="minorHAnsi" w:hAnsiTheme="minorHAnsi"/>
                <w:b/>
                <w:szCs w:val="22"/>
              </w:rPr>
            </w:pPr>
            <w:r w:rsidRPr="00C55C4D">
              <w:rPr>
                <w:rFonts w:asciiTheme="minorHAnsi" w:hAnsiTheme="minorHAnsi"/>
                <w:b/>
                <w:szCs w:val="22"/>
              </w:rPr>
              <w:t>Wersja robocza</w:t>
            </w:r>
            <w:r w:rsidR="00871F22" w:rsidRPr="00C55C4D">
              <w:rPr>
                <w:rFonts w:asciiTheme="minorHAnsi" w:hAnsiTheme="minorHAnsi"/>
                <w:b/>
                <w:szCs w:val="22"/>
              </w:rPr>
              <w:t>:</w:t>
            </w:r>
          </w:p>
          <w:p w:rsidR="00795831" w:rsidRPr="00C55C4D" w:rsidRDefault="00762973" w:rsidP="00795831">
            <w:pPr>
              <w:spacing w:before="0" w:line="240" w:lineRule="auto"/>
              <w:rPr>
                <w:rFonts w:asciiTheme="minorHAnsi" w:hAnsiTheme="minorHAnsi"/>
                <w:szCs w:val="22"/>
              </w:rPr>
            </w:pPr>
            <w:r w:rsidRPr="00C55C4D">
              <w:rPr>
                <w:rFonts w:asciiTheme="minorHAnsi" w:hAnsiTheme="minorHAnsi"/>
                <w:szCs w:val="22"/>
              </w:rPr>
              <w:t>Liczba przedsiębiorstw otrzymujących wsparcie w formie bezzwrotnego, bezpośredniego wsparcia finansowego pod warunkiem zakończenia projektu (dotacje).</w:t>
            </w:r>
          </w:p>
          <w:p w:rsidR="00762973" w:rsidRPr="00C55C4D" w:rsidRDefault="00795831" w:rsidP="00762973">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762973" w:rsidRPr="00C55C4D" w:rsidRDefault="00762973" w:rsidP="00762973">
            <w:pPr>
              <w:spacing w:before="0" w:line="240" w:lineRule="auto"/>
              <w:rPr>
                <w:rFonts w:asciiTheme="minorHAnsi" w:hAnsiTheme="minorHAnsi"/>
                <w:szCs w:val="22"/>
              </w:rPr>
            </w:pPr>
          </w:p>
          <w:p w:rsidR="00762973" w:rsidRPr="00C55C4D" w:rsidRDefault="00762973" w:rsidP="00762973">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dotacje” występuje łącznie ze wskaźnikiem „Liczba przedsiębiorstw otrzymujących wsparcie”.</w:t>
            </w:r>
          </w:p>
          <w:p w:rsidR="00C02E80" w:rsidRDefault="00C02E80" w:rsidP="00E428FC">
            <w:pPr>
              <w:spacing w:before="0" w:line="240" w:lineRule="auto"/>
              <w:rPr>
                <w:rFonts w:asciiTheme="minorHAnsi" w:hAnsiTheme="minorHAnsi"/>
                <w:szCs w:val="22"/>
              </w:rPr>
            </w:pPr>
          </w:p>
          <w:p w:rsidR="00823B2B" w:rsidRPr="00C40265" w:rsidRDefault="005E0C60" w:rsidP="00E428FC">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973" w:type="pct"/>
          </w:tcPr>
          <w:p w:rsidR="000C57E0" w:rsidRPr="00C55C4D" w:rsidRDefault="00332CDB"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C55C4D" w:rsidRPr="00C55C4D" w:rsidTr="003D2C3D">
        <w:trPr>
          <w:trHeight w:val="20"/>
          <w:jc w:val="center"/>
        </w:trPr>
        <w:tc>
          <w:tcPr>
            <w:tcW w:w="1127" w:type="pct"/>
            <w:shd w:val="clear" w:color="auto" w:fill="auto"/>
          </w:tcPr>
          <w:p w:rsidR="008F1A47" w:rsidRPr="00C55C4D" w:rsidRDefault="008F1A47" w:rsidP="00EE4C8C">
            <w:pPr>
              <w:spacing w:before="0" w:line="240" w:lineRule="auto"/>
              <w:rPr>
                <w:rFonts w:asciiTheme="minorHAnsi" w:hAnsiTheme="minorHAnsi" w:cs="Arial"/>
                <w:szCs w:val="22"/>
              </w:rPr>
            </w:pPr>
            <w:r w:rsidRPr="00C55C4D">
              <w:rPr>
                <w:rFonts w:asciiTheme="minorHAnsi" w:hAnsiTheme="minorHAnsi" w:cs="Arial"/>
                <w:szCs w:val="22"/>
              </w:rPr>
              <w:t>Liczba przedsiębiorstw otrzymujących wsparcie niefinansowe</w:t>
            </w:r>
          </w:p>
          <w:p w:rsidR="008F1A47" w:rsidRPr="00C55C4D" w:rsidRDefault="008F1A47" w:rsidP="00EE4C8C">
            <w:pPr>
              <w:spacing w:before="0" w:line="240" w:lineRule="auto"/>
              <w:rPr>
                <w:rFonts w:asciiTheme="minorHAnsi" w:hAnsiTheme="minorHAnsi" w:cs="Arial"/>
                <w:szCs w:val="22"/>
              </w:rPr>
            </w:pPr>
          </w:p>
          <w:p w:rsidR="008F1A47" w:rsidRPr="00C55C4D" w:rsidRDefault="008F1A47" w:rsidP="00EE4C8C">
            <w:pPr>
              <w:spacing w:before="0" w:line="240" w:lineRule="auto"/>
              <w:rPr>
                <w:rFonts w:asciiTheme="minorHAnsi" w:hAnsiTheme="minorHAnsi" w:cs="Arial"/>
                <w:szCs w:val="22"/>
              </w:rPr>
            </w:pPr>
          </w:p>
          <w:p w:rsidR="008F1A47" w:rsidRPr="00C55C4D" w:rsidRDefault="008F1A47" w:rsidP="00EE4C8C">
            <w:pPr>
              <w:spacing w:before="0" w:line="240" w:lineRule="auto"/>
              <w:rPr>
                <w:rFonts w:asciiTheme="minorHAnsi" w:hAnsiTheme="minorHAnsi" w:cs="Arial"/>
                <w:szCs w:val="22"/>
              </w:rPr>
            </w:pPr>
          </w:p>
        </w:tc>
        <w:tc>
          <w:tcPr>
            <w:tcW w:w="458" w:type="pct"/>
          </w:tcPr>
          <w:p w:rsidR="008F1A47" w:rsidRPr="00C55C4D" w:rsidRDefault="008F1A47" w:rsidP="00332CDB">
            <w:pPr>
              <w:spacing w:before="0" w:line="240" w:lineRule="auto"/>
              <w:jc w:val="both"/>
              <w:rPr>
                <w:rFonts w:asciiTheme="minorHAnsi" w:hAnsiTheme="minorHAnsi" w:cs="ArialNarrow"/>
              </w:rPr>
            </w:pPr>
            <w:r w:rsidRPr="00C55C4D">
              <w:rPr>
                <w:rFonts w:asciiTheme="minorHAnsi" w:hAnsiTheme="minorHAnsi" w:cs="ArialNarrow"/>
                <w:szCs w:val="22"/>
              </w:rPr>
              <w:t>przedsiębiorstwa</w:t>
            </w:r>
          </w:p>
        </w:tc>
        <w:tc>
          <w:tcPr>
            <w:tcW w:w="2442" w:type="pct"/>
            <w:shd w:val="clear" w:color="auto" w:fill="auto"/>
          </w:tcPr>
          <w:p w:rsidR="008F1A47" w:rsidRPr="00C55C4D"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C55C4D">
              <w:rPr>
                <w:rFonts w:asciiTheme="minorHAnsi" w:eastAsiaTheme="minorHAnsi" w:hAnsiTheme="minorHAnsi" w:cs="Arial"/>
                <w:szCs w:val="22"/>
                <w:lang w:val="en-US" w:eastAsia="en-US"/>
              </w:rPr>
              <w:t xml:space="preserve">Number of enterprises receiving support that does not involve direct financial transfer </w:t>
            </w:r>
          </w:p>
          <w:p w:rsidR="008F1A47" w:rsidRPr="00C55C4D"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C55C4D">
              <w:rPr>
                <w:rFonts w:asciiTheme="minorHAnsi" w:eastAsiaTheme="minorHAnsi" w:hAnsiTheme="minorHAnsi" w:cs="Arial"/>
                <w:szCs w:val="22"/>
                <w:lang w:val="en-US" w:eastAsia="en-US"/>
              </w:rPr>
              <w:t xml:space="preserve">(guidance, consultancy, enterprise incubators, etc.). Venture capital is considered as financial </w:t>
            </w:r>
          </w:p>
          <w:p w:rsidR="008F1A47" w:rsidRPr="00C55C4D"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C55C4D">
              <w:rPr>
                <w:rFonts w:asciiTheme="minorHAnsi" w:eastAsiaTheme="minorHAnsi" w:hAnsiTheme="minorHAnsi" w:cs="Arial"/>
                <w:szCs w:val="22"/>
                <w:lang w:val="en-US" w:eastAsia="en-US"/>
              </w:rPr>
              <w:t xml:space="preserve">support. </w:t>
            </w:r>
          </w:p>
          <w:p w:rsidR="008F1A47" w:rsidRPr="00C55C4D"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C55C4D">
              <w:rPr>
                <w:rFonts w:asciiTheme="minorHAnsi" w:eastAsiaTheme="minorHAnsi" w:hAnsiTheme="minorHAnsi" w:cs="Arial"/>
                <w:szCs w:val="22"/>
                <w:lang w:val="en-US" w:eastAsia="en-US"/>
              </w:rPr>
              <w:t>Subset of 'Number of enterprises receiving support.</w:t>
            </w:r>
          </w:p>
          <w:p w:rsidR="008F1A47" w:rsidRPr="00C55C4D"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p>
          <w:p w:rsidR="008F1A47" w:rsidRPr="00C55C4D" w:rsidRDefault="008F1A47" w:rsidP="008F1A47">
            <w:pPr>
              <w:spacing w:before="0" w:line="240" w:lineRule="auto"/>
              <w:rPr>
                <w:rFonts w:asciiTheme="minorHAnsi" w:eastAsiaTheme="minorHAnsi" w:hAnsiTheme="minorHAnsi"/>
                <w:b/>
                <w:szCs w:val="22"/>
                <w:lang w:eastAsia="en-US"/>
              </w:rPr>
            </w:pPr>
            <w:r w:rsidRPr="00C55C4D">
              <w:rPr>
                <w:rFonts w:asciiTheme="minorHAnsi" w:eastAsiaTheme="minorHAnsi" w:hAnsiTheme="minorHAnsi"/>
                <w:b/>
                <w:szCs w:val="22"/>
                <w:lang w:eastAsia="en-US"/>
              </w:rPr>
              <w:t>Wersja robocza</w:t>
            </w:r>
            <w:r w:rsidR="00871F22" w:rsidRPr="00C55C4D">
              <w:rPr>
                <w:rFonts w:asciiTheme="minorHAnsi" w:eastAsiaTheme="minorHAnsi" w:hAnsiTheme="minorHAnsi"/>
                <w:b/>
                <w:szCs w:val="22"/>
                <w:lang w:eastAsia="en-US"/>
              </w:rPr>
              <w:t>:</w:t>
            </w:r>
          </w:p>
          <w:p w:rsidR="008F1A47" w:rsidRPr="00C55C4D" w:rsidRDefault="008F1A47" w:rsidP="008F1A47">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Wskaźnik obejmuje przedsiębiorstwa korzystające ze wsparcia, które nie wymaga bezpośredniego transferu finansowego (doradztwo, konsultacje,  przedsiębiorstwa inkubowane).</w:t>
            </w:r>
          </w:p>
          <w:p w:rsidR="008F1A47" w:rsidRPr="00C55C4D" w:rsidRDefault="008F1A47" w:rsidP="008F1A47">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Venture capital jest uważany za finansowe wsparcie.</w:t>
            </w:r>
          </w:p>
          <w:p w:rsidR="008F1A47" w:rsidRPr="00C55C4D" w:rsidRDefault="008F1A47" w:rsidP="008F1A47">
            <w:pPr>
              <w:spacing w:before="0" w:line="240" w:lineRule="auto"/>
              <w:jc w:val="both"/>
              <w:rPr>
                <w:rFonts w:asciiTheme="minorHAnsi" w:eastAsiaTheme="minorHAnsi" w:hAnsiTheme="minorHAnsi"/>
                <w:szCs w:val="22"/>
                <w:lang w:eastAsia="en-US"/>
              </w:rPr>
            </w:pPr>
          </w:p>
          <w:p w:rsidR="00A84F1F" w:rsidRPr="00C40265" w:rsidRDefault="008F1A47" w:rsidP="00C40265">
            <w:pPr>
              <w:spacing w:before="0" w:line="240" w:lineRule="auto"/>
              <w:jc w:val="both"/>
              <w:rPr>
                <w:rFonts w:asciiTheme="minorHAnsi" w:hAnsiTheme="minorHAnsi"/>
              </w:rPr>
            </w:pPr>
            <w:r w:rsidRPr="00C55C4D">
              <w:rPr>
                <w:rFonts w:asciiTheme="minorHAnsi" w:hAnsiTheme="minorHAnsi"/>
                <w:i/>
              </w:rPr>
              <w:t>Przedsiębiorstwo</w:t>
            </w:r>
            <w:r w:rsidRPr="00C55C4D">
              <w:rPr>
                <w:rFonts w:asciiTheme="minorHAnsi" w:hAnsiTheme="minorHAnsi"/>
              </w:rPr>
              <w:t xml:space="preserve"> – podmiot gospodarczy wytwarzający dobra lub usługi dla zaspokojenia potrzeb zgłaszanych przez rynek, w celu osiągnięcia zysku. Przedsiębiorstwa mogą przyjmować różne formy prawne (osoba fizyczna wykonująca działalność gospodarczą, spółki, itp.). Zgodnie z art. 1 Załącznika I do Rozporządzenia Komisji (UE) nr 651/2014 z dnia 17 czerwca 2014 r. uznającego niektóre rodzaje pomocy za zgodne z rynkiem wewnętrznym w zasto</w:t>
            </w:r>
            <w:r w:rsidR="00C40265">
              <w:rPr>
                <w:rFonts w:asciiTheme="minorHAnsi" w:hAnsiTheme="minorHAnsi"/>
              </w:rPr>
              <w:t>sowaniu art. 107 i 108 Traktatu</w:t>
            </w:r>
            <w:r w:rsidR="00A84F1F" w:rsidRPr="00C55C4D">
              <w:rPr>
                <w:rFonts w:asciiTheme="minorHAnsi" w:eastAsiaTheme="minorHAnsi" w:hAnsiTheme="minorHAnsi"/>
                <w:szCs w:val="22"/>
                <w:lang w:eastAsia="en-US"/>
              </w:rPr>
              <w:t>.</w:t>
            </w:r>
            <w:r w:rsidR="00823B2B">
              <w:rPr>
                <w:rFonts w:asciiTheme="minorHAnsi" w:eastAsiaTheme="minorHAnsi" w:hAnsiTheme="minorHAnsi"/>
                <w:szCs w:val="22"/>
                <w:lang w:eastAsia="en-US"/>
              </w:rPr>
              <w:br/>
            </w:r>
          </w:p>
          <w:p w:rsidR="00823B2B" w:rsidRPr="005E0C60" w:rsidRDefault="00823B2B" w:rsidP="00823B2B">
            <w:pPr>
              <w:spacing w:before="0" w:line="240" w:lineRule="auto"/>
              <w:rPr>
                <w:rFonts w:asciiTheme="minorHAnsi" w:eastAsiaTheme="minorHAnsi" w:hAnsiTheme="minorHAnsi"/>
                <w:b/>
                <w:szCs w:val="22"/>
                <w:lang w:eastAsia="en-US"/>
              </w:rPr>
            </w:pPr>
            <w:r w:rsidRPr="005E0C60">
              <w:rPr>
                <w:rFonts w:asciiTheme="minorHAnsi" w:eastAsiaTheme="minorHAnsi" w:hAnsiTheme="minorHAnsi"/>
                <w:b/>
                <w:szCs w:val="22"/>
                <w:lang w:eastAsia="en-US"/>
              </w:rPr>
              <w:t xml:space="preserve">W ramach projektu </w:t>
            </w:r>
            <w:r w:rsidR="00C40265" w:rsidRPr="005E0C60">
              <w:rPr>
                <w:rFonts w:asciiTheme="minorHAnsi" w:eastAsiaTheme="minorHAnsi" w:hAnsiTheme="minorHAnsi"/>
                <w:b/>
                <w:szCs w:val="22"/>
                <w:lang w:eastAsia="en-US"/>
              </w:rPr>
              <w:t>Grantod</w:t>
            </w:r>
            <w:r w:rsidR="005E0C60" w:rsidRPr="005E0C60">
              <w:rPr>
                <w:rFonts w:asciiTheme="minorHAnsi" w:eastAsiaTheme="minorHAnsi" w:hAnsiTheme="minorHAnsi"/>
                <w:b/>
                <w:szCs w:val="22"/>
                <w:lang w:eastAsia="en-US"/>
              </w:rPr>
              <w:t>awca może udzielić wsparcia na:</w:t>
            </w:r>
            <w:r w:rsidR="005E0C60">
              <w:rPr>
                <w:rFonts w:asciiTheme="minorHAnsi" w:eastAsiaTheme="minorHAnsi" w:hAnsiTheme="minorHAnsi"/>
                <w:b/>
                <w:szCs w:val="22"/>
                <w:lang w:eastAsia="en-US"/>
              </w:rPr>
              <w:t xml:space="preserve"> </w:t>
            </w:r>
            <w:r w:rsidRPr="005E0C60">
              <w:rPr>
                <w:rFonts w:asciiTheme="minorHAnsi" w:eastAsiaTheme="minorHAnsi" w:hAnsiTheme="minorHAnsi"/>
                <w:b/>
                <w:szCs w:val="22"/>
                <w:lang w:eastAsia="en-US"/>
              </w:rPr>
              <w:t xml:space="preserve">konsultacje i doradztwo udzielane przez Grantodawcę w zakresie dot. np. wstępnej oceny możliwości dofinansowania projektu, wpisywania się MŚP i jego pomysłu/problemu w warunki konkursu (np. wpisywania się w inteligentne specjalizacje regionu), poszukiwania kompetentnych zespołów naukowych do współpracy w ramach bonu. </w:t>
            </w:r>
          </w:p>
          <w:p w:rsidR="00823B2B" w:rsidRPr="00823B2B" w:rsidRDefault="00823B2B" w:rsidP="00823B2B">
            <w:pPr>
              <w:spacing w:before="0" w:line="240" w:lineRule="auto"/>
              <w:rPr>
                <w:rFonts w:asciiTheme="minorHAnsi" w:eastAsiaTheme="minorHAnsi" w:hAnsiTheme="minorHAnsi"/>
                <w:szCs w:val="22"/>
                <w:lang w:eastAsia="en-US"/>
              </w:rPr>
            </w:pPr>
          </w:p>
          <w:p w:rsidR="00823B2B" w:rsidRPr="00823B2B" w:rsidRDefault="00823B2B" w:rsidP="00823B2B">
            <w:pPr>
              <w:spacing w:before="0" w:line="240" w:lineRule="auto"/>
              <w:rPr>
                <w:rFonts w:asciiTheme="minorHAnsi" w:eastAsiaTheme="minorHAnsi" w:hAnsiTheme="minorHAnsi"/>
                <w:szCs w:val="22"/>
                <w:lang w:eastAsia="en-US"/>
              </w:rPr>
            </w:pPr>
            <w:r w:rsidRPr="00823B2B">
              <w:rPr>
                <w:rFonts w:asciiTheme="minorHAnsi" w:eastAsiaTheme="minorHAnsi" w:hAnsiTheme="minorHAnsi"/>
                <w:szCs w:val="22"/>
                <w:lang w:eastAsia="en-US"/>
              </w:rPr>
              <w:t>Powyższe wsparcie świadczone będzie przez Grantodawcę  jako wsparcie niefinansowe, realizujące wskaźnik:</w:t>
            </w:r>
            <w:r w:rsidRPr="00823B2B">
              <w:rPr>
                <w:rFonts w:asciiTheme="minorHAnsi" w:eastAsiaTheme="minorHAnsi" w:hAnsiTheme="minorHAnsi"/>
                <w:i/>
                <w:szCs w:val="22"/>
                <w:lang w:eastAsia="en-US"/>
              </w:rPr>
              <w:t xml:space="preserve">  Liczba przedsiębiorstw otrzymujących wsparcie niefinansowe</w:t>
            </w:r>
          </w:p>
          <w:p w:rsidR="00823B2B" w:rsidRPr="00C55C4D" w:rsidRDefault="00823B2B" w:rsidP="00A84F1F">
            <w:pPr>
              <w:spacing w:before="0" w:line="240" w:lineRule="auto"/>
              <w:rPr>
                <w:rFonts w:asciiTheme="minorHAnsi" w:hAnsiTheme="minorHAnsi"/>
                <w:szCs w:val="22"/>
              </w:rPr>
            </w:pPr>
          </w:p>
          <w:p w:rsidR="005E0C60" w:rsidRDefault="005E0C60" w:rsidP="005E0C60">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 xml:space="preserve">Liczba przedsiębiorstw otrzymujących </w:t>
            </w:r>
            <w:r>
              <w:rPr>
                <w:rFonts w:asciiTheme="minorHAnsi" w:hAnsiTheme="minorHAnsi" w:cs="Arial"/>
                <w:szCs w:val="22"/>
              </w:rPr>
              <w:t>wsparcie niefinansowe</w:t>
            </w:r>
            <w:r w:rsidRPr="00C55C4D">
              <w:rPr>
                <w:rFonts w:asciiTheme="minorHAnsi" w:hAnsiTheme="minorHAnsi" w:cs="Arial"/>
                <w:szCs w:val="22"/>
              </w:rPr>
              <w:t>” występuje łącznie ze wskaźnikiem „Liczba przedsiębiorstw otrzymujących wsparcie”.</w:t>
            </w:r>
          </w:p>
          <w:p w:rsidR="005E0C60" w:rsidRDefault="005E0C60" w:rsidP="005E0C60">
            <w:pPr>
              <w:spacing w:before="0" w:line="240" w:lineRule="auto"/>
              <w:rPr>
                <w:rFonts w:asciiTheme="minorHAnsi" w:hAnsiTheme="minorHAnsi" w:cs="Arial"/>
                <w:szCs w:val="22"/>
              </w:rPr>
            </w:pPr>
          </w:p>
          <w:p w:rsidR="005E0C60" w:rsidRPr="00C55C4D" w:rsidRDefault="005E0C60" w:rsidP="005E0C60">
            <w:pPr>
              <w:spacing w:before="0" w:line="240" w:lineRule="auto"/>
              <w:rPr>
                <w:rFonts w:asciiTheme="minorHAnsi" w:hAnsiTheme="minorHAnsi" w:cs="Arial"/>
                <w:szCs w:val="22"/>
              </w:rPr>
            </w:pPr>
            <w:r w:rsidRPr="000434B4">
              <w:rPr>
                <w:rFonts w:asciiTheme="minorHAnsi" w:hAnsiTheme="minorHAnsi"/>
                <w:szCs w:val="22"/>
                <w:u w:val="single"/>
              </w:rPr>
              <w:t>Wskaźnik obligatoryjny dla konkurs</w:t>
            </w:r>
            <w:r>
              <w:rPr>
                <w:rFonts w:asciiTheme="minorHAnsi" w:hAnsiTheme="minorHAnsi"/>
                <w:szCs w:val="22"/>
                <w:u w:val="single"/>
              </w:rPr>
              <w:t>u ( jeśli zostanie udzielona ww. wsparcie).</w:t>
            </w:r>
          </w:p>
          <w:p w:rsidR="00A84F1F" w:rsidRPr="00C55C4D" w:rsidRDefault="00A84F1F" w:rsidP="00E428FC">
            <w:pPr>
              <w:spacing w:before="0" w:line="240" w:lineRule="auto"/>
              <w:rPr>
                <w:rFonts w:asciiTheme="minorHAnsi" w:hAnsiTheme="minorHAnsi"/>
                <w:szCs w:val="22"/>
              </w:rPr>
            </w:pPr>
          </w:p>
        </w:tc>
        <w:tc>
          <w:tcPr>
            <w:tcW w:w="973" w:type="pct"/>
          </w:tcPr>
          <w:p w:rsidR="008F1A47"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C55C4D" w:rsidRPr="00C55C4D" w:rsidTr="003D2C3D">
        <w:trPr>
          <w:trHeight w:val="20"/>
          <w:jc w:val="center"/>
        </w:trPr>
        <w:tc>
          <w:tcPr>
            <w:tcW w:w="1127" w:type="pct"/>
            <w:shd w:val="clear" w:color="auto" w:fill="auto"/>
          </w:tcPr>
          <w:p w:rsidR="005657D8" w:rsidRPr="00C55C4D" w:rsidRDefault="00331F09" w:rsidP="00331F09">
            <w:pPr>
              <w:spacing w:before="0" w:line="240" w:lineRule="auto"/>
              <w:rPr>
                <w:rFonts w:asciiTheme="minorHAnsi" w:hAnsiTheme="minorHAnsi"/>
                <w:szCs w:val="22"/>
              </w:rPr>
            </w:pPr>
            <w:r w:rsidRPr="00C55C4D">
              <w:rPr>
                <w:rFonts w:ascii="Calibri" w:hAnsi="Calibri" w:cs="Arial"/>
                <w:szCs w:val="22"/>
              </w:rPr>
              <w:t>Liczba przedsiębiorstw współpracujących z ośrodkami badawczymi</w:t>
            </w:r>
          </w:p>
        </w:tc>
        <w:tc>
          <w:tcPr>
            <w:tcW w:w="458" w:type="pct"/>
          </w:tcPr>
          <w:p w:rsidR="005657D8" w:rsidRPr="00C55C4D" w:rsidRDefault="00331F09" w:rsidP="00332CDB">
            <w:pPr>
              <w:spacing w:before="0" w:line="240" w:lineRule="auto"/>
              <w:jc w:val="both"/>
              <w:rPr>
                <w:rFonts w:asciiTheme="minorHAnsi" w:hAnsiTheme="minorHAnsi"/>
                <w:szCs w:val="22"/>
              </w:rPr>
            </w:pPr>
            <w:r w:rsidRPr="00C55C4D">
              <w:rPr>
                <w:rFonts w:ascii="Calibri" w:eastAsia="Calibri" w:hAnsi="Calibri"/>
                <w:szCs w:val="22"/>
                <w:lang w:eastAsia="en-US"/>
              </w:rPr>
              <w:t>przedsiębiorstwa</w:t>
            </w:r>
          </w:p>
        </w:tc>
        <w:tc>
          <w:tcPr>
            <w:tcW w:w="2442" w:type="pct"/>
            <w:shd w:val="clear" w:color="auto" w:fill="auto"/>
          </w:tcPr>
          <w:p w:rsidR="00C063C7" w:rsidRPr="00C55C4D" w:rsidRDefault="00331F09" w:rsidP="00944996">
            <w:pPr>
              <w:spacing w:before="0" w:line="240" w:lineRule="auto"/>
              <w:rPr>
                <w:rFonts w:asciiTheme="minorHAnsi" w:hAnsiTheme="minorHAnsi"/>
                <w:szCs w:val="22"/>
                <w:lang w:val="en-US"/>
              </w:rPr>
            </w:pPr>
            <w:r w:rsidRPr="00C55C4D">
              <w:rPr>
                <w:rFonts w:asciiTheme="minorHAnsi" w:hAnsiTheme="minorHAnsi"/>
                <w:szCs w:val="22"/>
                <w:lang w:val="en-US"/>
              </w:rPr>
              <w:t>Number of enterprises that cooperate with research institutions in R&amp;D projects. At least one enterprise and one research institution participates in the project. One or more of the cooperating parties (research institution or enterprise) may receive the support but it must be conditional to the cooperation. The cooperation may be new or existing. The cooperation should last at least for the duration of the project. Enterprise: Organisation producing products or services to satisfy market needs in order to reach profit. The origin of the enterprise (inside or outside of the EU) does not matter. In case one enterprise takes the formal lead and others are subcontractors but still interacting with the research institution, all enterprises should be counted. Enterprises cooperating in different projects should be added up (provided that all projects receive support); this is not regarded as multiple counting. Research institution: an organisation of which R&amp;D is a primary activity.</w:t>
            </w:r>
          </w:p>
          <w:p w:rsidR="00331F09" w:rsidRPr="00C55C4D" w:rsidRDefault="00331F09" w:rsidP="00944996">
            <w:pPr>
              <w:spacing w:before="0" w:line="240" w:lineRule="auto"/>
              <w:rPr>
                <w:rFonts w:asciiTheme="minorHAnsi" w:hAnsiTheme="minorHAnsi"/>
                <w:szCs w:val="22"/>
                <w:lang w:val="en-US"/>
              </w:rPr>
            </w:pPr>
          </w:p>
          <w:p w:rsidR="00331F09" w:rsidRPr="00C55C4D" w:rsidRDefault="00331F09" w:rsidP="00944996">
            <w:pPr>
              <w:spacing w:before="0" w:line="240" w:lineRule="auto"/>
              <w:rPr>
                <w:rFonts w:asciiTheme="minorHAnsi" w:hAnsiTheme="minorHAnsi"/>
                <w:b/>
                <w:szCs w:val="22"/>
              </w:rPr>
            </w:pPr>
            <w:r w:rsidRPr="00C55C4D">
              <w:rPr>
                <w:rFonts w:asciiTheme="minorHAnsi" w:hAnsiTheme="minorHAnsi"/>
                <w:b/>
                <w:szCs w:val="22"/>
              </w:rPr>
              <w:t>Wersja robocza:</w:t>
            </w:r>
          </w:p>
          <w:p w:rsidR="00A84F1F" w:rsidRPr="00C55C4D" w:rsidRDefault="00A84F1F" w:rsidP="00D23755">
            <w:pPr>
              <w:spacing w:before="0" w:line="240" w:lineRule="auto"/>
              <w:rPr>
                <w:rFonts w:asciiTheme="minorHAnsi" w:hAnsiTheme="minorHAnsi"/>
                <w:szCs w:val="22"/>
              </w:rPr>
            </w:pPr>
            <w:r w:rsidRPr="00C55C4D">
              <w:rPr>
                <w:rFonts w:asciiTheme="minorHAnsi" w:hAnsiTheme="minorHAnsi"/>
                <w:szCs w:val="22"/>
              </w:rPr>
              <w:t>Liczba przedsiębiorstw współpracujących z ośrodkami badawczymi w projektach B+R. Przy założeniu, że przynajmniej jedno przedsiębiorstwo i jeden ośrodek badawczy bierze udział w projekcie. Jedna lub więcej współpracujących stron (ośrodek badawczy lub przedsiębiorstwo) może otrzymać wsparcie, ale jest ono uwarunkowane prowadzeniem współpracy. Współpraca może być nowo nawiązana lub już trwająca. Współpraca powinna trwać przynajmniej przez okres realizacji projektu.</w:t>
            </w:r>
          </w:p>
          <w:p w:rsidR="00A84F1F" w:rsidRPr="00C55C4D" w:rsidRDefault="00A84F1F" w:rsidP="00D23755">
            <w:pPr>
              <w:spacing w:before="0" w:line="240" w:lineRule="auto"/>
              <w:rPr>
                <w:rFonts w:asciiTheme="minorHAnsi" w:hAnsiTheme="minorHAnsi"/>
                <w:szCs w:val="22"/>
              </w:rPr>
            </w:pPr>
          </w:p>
          <w:p w:rsidR="00A84F1F" w:rsidRPr="00C55C4D" w:rsidRDefault="00A84F1F" w:rsidP="00D23755">
            <w:pPr>
              <w:spacing w:before="0" w:line="240" w:lineRule="auto"/>
              <w:rPr>
                <w:rFonts w:asciiTheme="minorHAnsi" w:hAnsiTheme="minorHAnsi"/>
                <w:szCs w:val="22"/>
              </w:rPr>
            </w:pPr>
            <w:r w:rsidRPr="00C55C4D">
              <w:rPr>
                <w:rFonts w:asciiTheme="minorHAnsi" w:hAnsiTheme="minorHAnsi"/>
                <w:szCs w:val="22"/>
              </w:rPr>
              <w:t xml:space="preserve">Przedsiębiorstwo – podmiot gospodarczy wytwarzający dobra lub usługi dla zaspokojenia potrzeb zgłaszanych przez rynek, w celu osiągnięcia zysku. Pochodzenie przedsiębiorstwa nie ma znaczenia (może być zarówno z Unii, jak i spoza Unii). W przypadku, gdy jedno przedsiębiorstwo odgrywa wiodąca rolę, a pozostałe są jego partnerami, ale współpracują z ośrodkiem badawczym, liczone są wszystkie przedsiębiorstwa. Przedsiębiorstwa współpracujące w ramach różnych projektów powinny być zsumowane (pod warunkiem, że wszystkie projekty otrzymują wsparcie); nie jest to postrzegane jako wielokrotne liczenie. </w:t>
            </w:r>
          </w:p>
          <w:p w:rsidR="00A84F1F" w:rsidRPr="00C55C4D" w:rsidRDefault="00A84F1F" w:rsidP="00A84F1F">
            <w:pPr>
              <w:spacing w:before="0" w:line="240" w:lineRule="auto"/>
              <w:rPr>
                <w:rFonts w:asciiTheme="minorHAnsi" w:hAnsiTheme="minorHAnsi"/>
                <w:szCs w:val="22"/>
              </w:rPr>
            </w:pPr>
          </w:p>
          <w:p w:rsidR="00A84F1F" w:rsidRPr="00C55C4D" w:rsidRDefault="00A84F1F" w:rsidP="00A84F1F">
            <w:pPr>
              <w:spacing w:before="0" w:line="240" w:lineRule="auto"/>
              <w:rPr>
                <w:rFonts w:asciiTheme="minorHAnsi" w:hAnsiTheme="minorHAnsi"/>
                <w:szCs w:val="22"/>
              </w:rPr>
            </w:pPr>
            <w:r w:rsidRPr="00C55C4D">
              <w:rPr>
                <w:rFonts w:asciiTheme="minorHAnsi" w:hAnsiTheme="minorHAnsi"/>
                <w:szCs w:val="22"/>
              </w:rPr>
              <w:t>Ośrodek badawczy: organizacja, która zajmuje się głównie działaniami w zakresie B+R.</w:t>
            </w:r>
          </w:p>
          <w:p w:rsidR="00A84F1F" w:rsidRPr="00C55C4D" w:rsidRDefault="00A84F1F" w:rsidP="00944996">
            <w:pPr>
              <w:spacing w:before="0" w:line="240" w:lineRule="auto"/>
              <w:rPr>
                <w:rFonts w:asciiTheme="minorHAnsi" w:hAnsiTheme="minorHAnsi"/>
                <w:b/>
                <w:szCs w:val="22"/>
              </w:rPr>
            </w:pPr>
          </w:p>
          <w:p w:rsidR="00D23755" w:rsidRPr="00C55C4D" w:rsidRDefault="00D23755" w:rsidP="00D23755">
            <w:pPr>
              <w:spacing w:before="0" w:line="240" w:lineRule="auto"/>
              <w:rPr>
                <w:rFonts w:asciiTheme="minorHAnsi" w:hAnsiTheme="minorHAnsi"/>
                <w:szCs w:val="22"/>
              </w:rPr>
            </w:pPr>
            <w:r w:rsidRPr="00C55C4D">
              <w:rPr>
                <w:rFonts w:asciiTheme="minorHAnsi" w:hAnsiTheme="minorHAnsi"/>
                <w:szCs w:val="22"/>
              </w:rPr>
              <w:t>Sposób pomiaru:</w:t>
            </w:r>
          </w:p>
          <w:p w:rsidR="00D23755" w:rsidRDefault="00D23755" w:rsidP="00D23755">
            <w:pPr>
              <w:spacing w:before="0" w:line="240" w:lineRule="auto"/>
              <w:rPr>
                <w:rFonts w:asciiTheme="minorHAnsi" w:hAnsiTheme="minorHAnsi"/>
                <w:szCs w:val="22"/>
              </w:rPr>
            </w:pPr>
            <w:r w:rsidRPr="00C55C4D">
              <w:rPr>
                <w:rFonts w:asciiTheme="minorHAnsi" w:hAnsiTheme="minorHAnsi"/>
                <w:szCs w:val="22"/>
              </w:rPr>
              <w:t>Jako ośrodki badawcze należy wykazywać jednostki naukowe w rozumieniu ustawy o zasadach finansowania nauki. Zgodnie z definicją powyżej, przedsiębiorstwa współpracujące w ramach różnych wspartych projektów są sumowane, czyli jedno przedsiębiorstwo może zostać zliczone tyle razy, w ilu projektach uczestniczy.</w:t>
            </w:r>
          </w:p>
          <w:p w:rsidR="00DF2FA3" w:rsidRDefault="00DF2FA3" w:rsidP="00D23755">
            <w:pPr>
              <w:spacing w:before="0" w:line="240" w:lineRule="auto"/>
              <w:rPr>
                <w:rFonts w:asciiTheme="minorHAnsi" w:hAnsiTheme="minorHAnsi"/>
                <w:szCs w:val="22"/>
              </w:rPr>
            </w:pPr>
          </w:p>
          <w:p w:rsidR="00331F09" w:rsidRPr="00C55C4D" w:rsidRDefault="00DF2FA3" w:rsidP="005E0C60">
            <w:pPr>
              <w:spacing w:before="0" w:line="240" w:lineRule="auto"/>
              <w:rPr>
                <w:rFonts w:asciiTheme="minorHAnsi" w:hAnsiTheme="minorHAnsi"/>
                <w:b/>
                <w:szCs w:val="22"/>
              </w:rPr>
            </w:pPr>
            <w:r w:rsidRPr="00DF2FA3">
              <w:rPr>
                <w:rFonts w:asciiTheme="minorHAnsi" w:hAnsiTheme="minorHAnsi"/>
                <w:szCs w:val="22"/>
                <w:u w:val="single"/>
              </w:rPr>
              <w:t>Wska</w:t>
            </w:r>
            <w:r w:rsidR="005E0C60">
              <w:rPr>
                <w:rFonts w:asciiTheme="minorHAnsi" w:hAnsiTheme="minorHAnsi"/>
                <w:szCs w:val="22"/>
                <w:u w:val="single"/>
              </w:rPr>
              <w:t>źnik obligatoryjny dla konkursu.</w:t>
            </w:r>
          </w:p>
        </w:tc>
        <w:tc>
          <w:tcPr>
            <w:tcW w:w="973" w:type="pct"/>
          </w:tcPr>
          <w:p w:rsidR="005657D8"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C55C4D" w:rsidRPr="00C55C4D" w:rsidTr="003D2C3D">
        <w:trPr>
          <w:trHeight w:val="20"/>
          <w:jc w:val="center"/>
        </w:trPr>
        <w:tc>
          <w:tcPr>
            <w:tcW w:w="1127" w:type="pct"/>
            <w:shd w:val="clear" w:color="auto" w:fill="auto"/>
          </w:tcPr>
          <w:p w:rsidR="00331F09" w:rsidRPr="00C55C4D" w:rsidRDefault="00331F09" w:rsidP="00331F09">
            <w:pPr>
              <w:spacing w:before="0" w:line="240" w:lineRule="auto"/>
              <w:rPr>
                <w:rFonts w:ascii="Calibri" w:hAnsi="Calibri" w:cs="Arial"/>
                <w:szCs w:val="22"/>
              </w:rPr>
            </w:pPr>
            <w:r w:rsidRPr="00C55C4D">
              <w:rPr>
                <w:rFonts w:ascii="Calibri" w:hAnsi="Calibri" w:cs="Arial"/>
              </w:rPr>
              <w:t>Inwestycje prywatne uzupełniające wsparcie publiczne dla przedsiębiorstw (dotacje)</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p>
          <w:p w:rsidR="007807DB" w:rsidRPr="00C55C4D" w:rsidRDefault="007807DB"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zł</w:t>
            </w:r>
          </w:p>
        </w:tc>
        <w:tc>
          <w:tcPr>
            <w:tcW w:w="2442" w:type="pct"/>
            <w:shd w:val="clear" w:color="auto" w:fill="auto"/>
          </w:tcPr>
          <w:p w:rsidR="00331F09" w:rsidRPr="00C55C4D" w:rsidRDefault="00331F09" w:rsidP="00944996">
            <w:pPr>
              <w:spacing w:before="0" w:line="240" w:lineRule="auto"/>
              <w:rPr>
                <w:rFonts w:asciiTheme="minorHAnsi" w:hAnsiTheme="minorHAnsi"/>
                <w:szCs w:val="22"/>
                <w:lang w:val="en-US"/>
              </w:rPr>
            </w:pPr>
            <w:r w:rsidRPr="00C55C4D">
              <w:rPr>
                <w:rFonts w:asciiTheme="minorHAnsi" w:hAnsiTheme="minorHAnsi"/>
                <w:szCs w:val="22"/>
                <w:lang w:val="en-US"/>
              </w:rPr>
              <w:t>Total value of private contribution in supported project that qualifies as state aid where the form of support is grant (see Common Indicator 2 'Number of enterprises receiving grants'), including non-eligible parts of the project.</w:t>
            </w:r>
          </w:p>
          <w:p w:rsidR="00331F09" w:rsidRPr="00C55C4D" w:rsidRDefault="00331F09" w:rsidP="00944996">
            <w:pPr>
              <w:spacing w:before="0" w:line="240" w:lineRule="auto"/>
              <w:rPr>
                <w:rFonts w:asciiTheme="minorHAnsi" w:hAnsiTheme="minorHAnsi"/>
                <w:szCs w:val="22"/>
                <w:lang w:val="en-US"/>
              </w:rPr>
            </w:pPr>
          </w:p>
          <w:p w:rsidR="00331F09" w:rsidRPr="00C55C4D" w:rsidRDefault="00331F09" w:rsidP="00944996">
            <w:pPr>
              <w:spacing w:before="0" w:line="240" w:lineRule="auto"/>
              <w:rPr>
                <w:rFonts w:asciiTheme="minorHAnsi" w:hAnsiTheme="minorHAnsi"/>
                <w:b/>
                <w:szCs w:val="22"/>
              </w:rPr>
            </w:pPr>
            <w:r w:rsidRPr="00C55C4D">
              <w:rPr>
                <w:rFonts w:asciiTheme="minorHAnsi" w:hAnsiTheme="minorHAnsi"/>
                <w:b/>
                <w:szCs w:val="22"/>
              </w:rPr>
              <w:t>Wersja robocza:</w:t>
            </w:r>
          </w:p>
          <w:p w:rsidR="007807DB" w:rsidRPr="00C55C4D" w:rsidRDefault="007807DB" w:rsidP="007807DB">
            <w:pPr>
              <w:spacing w:before="0" w:line="240" w:lineRule="auto"/>
              <w:rPr>
                <w:rFonts w:asciiTheme="minorHAnsi" w:hAnsiTheme="minorHAnsi"/>
                <w:szCs w:val="22"/>
              </w:rPr>
            </w:pPr>
            <w:r w:rsidRPr="00C55C4D">
              <w:rPr>
                <w:rFonts w:asciiTheme="minorHAnsi" w:hAnsiTheme="minorHAnsi"/>
                <w:szCs w:val="22"/>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p w:rsidR="007807DB" w:rsidRPr="00C55C4D" w:rsidRDefault="007807DB" w:rsidP="00944996">
            <w:pPr>
              <w:spacing w:before="0" w:line="240" w:lineRule="auto"/>
              <w:rPr>
                <w:rFonts w:asciiTheme="minorHAnsi" w:hAnsiTheme="minorHAnsi"/>
                <w:b/>
                <w:szCs w:val="22"/>
              </w:rPr>
            </w:pPr>
          </w:p>
          <w:p w:rsidR="00331F09" w:rsidRDefault="00DF2FA3" w:rsidP="00944996">
            <w:pPr>
              <w:spacing w:before="0" w:line="240" w:lineRule="auto"/>
              <w:rPr>
                <w:rFonts w:asciiTheme="minorHAnsi" w:hAnsiTheme="minorHAnsi"/>
                <w:szCs w:val="22"/>
                <w:u w:val="single"/>
              </w:rPr>
            </w:pPr>
            <w:r w:rsidRPr="00DF2FA3">
              <w:rPr>
                <w:rFonts w:asciiTheme="minorHAnsi" w:hAnsiTheme="minorHAnsi"/>
                <w:szCs w:val="22"/>
                <w:u w:val="single"/>
              </w:rPr>
              <w:t xml:space="preserve">Wskaźnik obligatoryjny dla </w:t>
            </w:r>
            <w:r w:rsidR="005E0C60">
              <w:rPr>
                <w:rFonts w:asciiTheme="minorHAnsi" w:hAnsiTheme="minorHAnsi"/>
                <w:szCs w:val="22"/>
                <w:u w:val="single"/>
              </w:rPr>
              <w:t>konkursu.</w:t>
            </w:r>
          </w:p>
          <w:p w:rsidR="00F8106E" w:rsidRPr="00C55C4D" w:rsidRDefault="00F8106E" w:rsidP="00944996">
            <w:pPr>
              <w:spacing w:before="0" w:line="240" w:lineRule="auto"/>
              <w:rPr>
                <w:rFonts w:asciiTheme="minorHAnsi" w:hAnsiTheme="minorHAnsi"/>
                <w:szCs w:val="22"/>
              </w:rPr>
            </w:pP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C55C4D" w:rsidRPr="00C55C4D" w:rsidTr="003D2C3D">
        <w:trPr>
          <w:trHeight w:val="20"/>
          <w:jc w:val="center"/>
        </w:trPr>
        <w:tc>
          <w:tcPr>
            <w:tcW w:w="1127" w:type="pct"/>
            <w:shd w:val="clear" w:color="auto" w:fill="auto"/>
          </w:tcPr>
          <w:p w:rsidR="00331F09" w:rsidRPr="00C55C4D" w:rsidRDefault="00331F09" w:rsidP="00331F09">
            <w:pPr>
              <w:spacing w:before="0" w:line="240" w:lineRule="auto"/>
              <w:rPr>
                <w:rFonts w:ascii="Calibri" w:hAnsi="Calibri" w:cs="Arial"/>
                <w:szCs w:val="22"/>
              </w:rPr>
            </w:pPr>
            <w:r w:rsidRPr="00C55C4D">
              <w:rPr>
                <w:rFonts w:ascii="Calibri" w:hAnsi="Calibri" w:cs="Arial"/>
              </w:rPr>
              <w:t>Inwestycje prywatne uzupełniające wsparcie publiczne w projekty w zakresie badań i rozwoju</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zł</w:t>
            </w:r>
          </w:p>
        </w:tc>
        <w:tc>
          <w:tcPr>
            <w:tcW w:w="2442" w:type="pct"/>
            <w:shd w:val="clear" w:color="auto" w:fill="auto"/>
          </w:tcPr>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 xml:space="preserve">Podwskaźnik  </w:t>
            </w:r>
            <w:r w:rsidRPr="00C55C4D">
              <w:rPr>
                <w:rFonts w:asciiTheme="minorHAnsi" w:hAnsiTheme="minorHAnsi"/>
                <w:i/>
                <w:szCs w:val="22"/>
              </w:rPr>
              <w:t>Inwestycje prywatne uzupełniające wsparcie publiczne w projekty w zakresie innowacji lub badań i rozwoju</w:t>
            </w:r>
            <w:r w:rsidRPr="00C55C4D">
              <w:rPr>
                <w:rFonts w:asciiTheme="minorHAnsi" w:hAnsiTheme="minorHAnsi"/>
                <w:szCs w:val="22"/>
              </w:rPr>
              <w:t>, przy czym odnosi się wyłącznie do projektów w zakresie B+R.</w:t>
            </w:r>
          </w:p>
          <w:p w:rsidR="007807DB" w:rsidRPr="00C55C4D" w:rsidRDefault="007807DB" w:rsidP="00944996">
            <w:pPr>
              <w:spacing w:before="0" w:line="240" w:lineRule="auto"/>
              <w:rPr>
                <w:rFonts w:asciiTheme="minorHAnsi" w:hAnsiTheme="minorHAnsi"/>
                <w:szCs w:val="22"/>
              </w:rPr>
            </w:pPr>
          </w:p>
          <w:p w:rsidR="007807DB" w:rsidRPr="00C55C4D" w:rsidRDefault="007807DB" w:rsidP="00944996">
            <w:pPr>
              <w:spacing w:before="0" w:line="240" w:lineRule="auto"/>
              <w:rPr>
                <w:rFonts w:asciiTheme="minorHAnsi" w:hAnsiTheme="minorHAnsi"/>
                <w:szCs w:val="22"/>
              </w:rPr>
            </w:pPr>
            <w:r w:rsidRPr="00C55C4D">
              <w:rPr>
                <w:rFonts w:asciiTheme="minorHAnsi" w:hAnsiTheme="minorHAnsi"/>
                <w:szCs w:val="22"/>
              </w:rPr>
              <w:t xml:space="preserve">Definicja wskaźnik </w:t>
            </w:r>
            <w:r w:rsidRPr="00C55C4D">
              <w:rPr>
                <w:rFonts w:asciiTheme="minorHAnsi" w:hAnsiTheme="minorHAnsi"/>
                <w:i/>
                <w:szCs w:val="22"/>
              </w:rPr>
              <w:t>Inwestycje prywatne uzupełniające wsparcie publiczne w projekty w zakresie innowacji lub badań i rozwoju</w:t>
            </w:r>
            <w:r w:rsidRPr="00C55C4D">
              <w:rPr>
                <w:rFonts w:asciiTheme="minorHAnsi" w:hAnsiTheme="minorHAnsi"/>
                <w:szCs w:val="22"/>
              </w:rPr>
              <w:t>:</w:t>
            </w:r>
          </w:p>
          <w:p w:rsidR="007807DB" w:rsidRPr="00C55C4D" w:rsidRDefault="007807DB" w:rsidP="00944996">
            <w:pPr>
              <w:spacing w:before="0" w:line="240" w:lineRule="auto"/>
              <w:rPr>
                <w:rFonts w:asciiTheme="minorHAnsi" w:hAnsiTheme="minorHAnsi"/>
                <w:lang w:val="en-US"/>
              </w:rPr>
            </w:pPr>
            <w:r w:rsidRPr="00C55C4D">
              <w:rPr>
                <w:rFonts w:asciiTheme="minorHAnsi" w:hAnsiTheme="minorHAnsi"/>
                <w:lang w:val="en-US"/>
              </w:rPr>
              <w:t>Total value of private contribution in supported innovation or R&amp;D projects, including noneligible parts of the project. If the investment also qualifies as state aid (see indicators “Private investment matching public support to enterprises (grants/non-grants)”, it should be reported under all relevant indicators.</w:t>
            </w:r>
          </w:p>
          <w:p w:rsidR="00D23755" w:rsidRPr="00C55C4D" w:rsidRDefault="00D23755" w:rsidP="00944996">
            <w:pPr>
              <w:spacing w:before="0" w:line="240" w:lineRule="auto"/>
              <w:rPr>
                <w:rFonts w:asciiTheme="minorHAnsi" w:hAnsiTheme="minorHAnsi"/>
                <w:szCs w:val="22"/>
                <w:lang w:val="en-US"/>
              </w:rPr>
            </w:pPr>
          </w:p>
          <w:p w:rsidR="007807DB" w:rsidRPr="00C55C4D" w:rsidRDefault="007807DB" w:rsidP="00944996">
            <w:pPr>
              <w:spacing w:before="0" w:line="240" w:lineRule="auto"/>
              <w:rPr>
                <w:rFonts w:asciiTheme="minorHAnsi" w:hAnsiTheme="minorHAnsi"/>
                <w:szCs w:val="22"/>
              </w:rPr>
            </w:pPr>
            <w:r w:rsidRPr="00C55C4D">
              <w:rPr>
                <w:rFonts w:asciiTheme="minorHAnsi" w:hAnsiTheme="minorHAnsi"/>
                <w:szCs w:val="22"/>
              </w:rPr>
              <w:t>Tłumaczenie robocze:</w:t>
            </w:r>
          </w:p>
          <w:p w:rsidR="00A84F1F" w:rsidRPr="00C55C4D" w:rsidRDefault="00A84F1F" w:rsidP="00A84F1F">
            <w:pPr>
              <w:spacing w:before="0" w:line="240" w:lineRule="auto"/>
              <w:rPr>
                <w:rFonts w:asciiTheme="minorHAnsi" w:eastAsiaTheme="minorHAnsi" w:hAnsiTheme="minorHAnsi"/>
              </w:rPr>
            </w:pPr>
            <w:r w:rsidRPr="00C55C4D">
              <w:rPr>
                <w:rFonts w:asciiTheme="minorHAnsi" w:eastAsiaTheme="minorHAnsi" w:hAnsiTheme="minorHAnsi"/>
              </w:rPr>
              <w:t xml:space="preserve">Całkowita wartość wkładu prywatnego w projektach wspierających innowacje lub projektach B+R, w tym wydatki niekwalifikowalne projektu. Jeżeli inwestycja kwalifikuje się również do pomocy publicznej (patrz wskaźniki „Inwestycje prywatne uzupełniające wsparcie publiczne dla przedsiębiorstw (dotacje)”, to powinna zostać wykazana we wszystkich wskaźnikach. </w:t>
            </w:r>
          </w:p>
          <w:p w:rsidR="007807DB" w:rsidRPr="00C55C4D" w:rsidRDefault="007807DB" w:rsidP="00944996">
            <w:pPr>
              <w:spacing w:before="0" w:line="240" w:lineRule="auto"/>
              <w:rPr>
                <w:rFonts w:asciiTheme="minorHAnsi" w:hAnsiTheme="minorHAnsi"/>
                <w:szCs w:val="22"/>
              </w:rPr>
            </w:pP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3D2C3D">
        <w:trPr>
          <w:trHeight w:val="20"/>
          <w:jc w:val="center"/>
        </w:trPr>
        <w:tc>
          <w:tcPr>
            <w:tcW w:w="1127" w:type="pct"/>
            <w:shd w:val="clear" w:color="auto" w:fill="auto"/>
          </w:tcPr>
          <w:p w:rsidR="00331F09" w:rsidRPr="00DF2FA3" w:rsidRDefault="00331F09" w:rsidP="00331F09">
            <w:pPr>
              <w:spacing w:before="0" w:line="240" w:lineRule="auto"/>
              <w:rPr>
                <w:rFonts w:ascii="Calibri" w:hAnsi="Calibri" w:cs="Arial"/>
                <w:szCs w:val="22"/>
              </w:rPr>
            </w:pPr>
            <w:r w:rsidRPr="00DF2FA3">
              <w:rPr>
                <w:rFonts w:ascii="Calibri" w:hAnsi="Calibri" w:cs="Arial"/>
                <w:szCs w:val="22"/>
              </w:rPr>
              <w:t>Liczba realizowanych projektów B+R</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szt.</w:t>
            </w:r>
          </w:p>
        </w:tc>
        <w:tc>
          <w:tcPr>
            <w:tcW w:w="2442" w:type="pct"/>
            <w:shd w:val="clear" w:color="auto" w:fill="auto"/>
          </w:tcPr>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Liczba wspartych projektów obejmujących prace B+R, będących w trakcie realizacji lub zrealizowanych przez jednostki naukowe lub przedsiębiorstwa.</w:t>
            </w: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3D2C3D">
        <w:trPr>
          <w:trHeight w:val="20"/>
          <w:jc w:val="center"/>
        </w:trPr>
        <w:tc>
          <w:tcPr>
            <w:tcW w:w="1127" w:type="pct"/>
            <w:shd w:val="clear" w:color="auto" w:fill="auto"/>
          </w:tcPr>
          <w:p w:rsidR="00331F09" w:rsidRPr="00DF2FA3" w:rsidRDefault="00331F09" w:rsidP="00331F09">
            <w:pPr>
              <w:spacing w:before="0" w:line="240" w:lineRule="auto"/>
              <w:rPr>
                <w:rFonts w:ascii="Calibri" w:hAnsi="Calibri" w:cs="Arial"/>
                <w:szCs w:val="22"/>
              </w:rPr>
            </w:pPr>
            <w:r w:rsidRPr="00DF2FA3">
              <w:rPr>
                <w:rFonts w:ascii="Calibri" w:hAnsi="Calibri" w:cs="Arial"/>
                <w:szCs w:val="22"/>
              </w:rPr>
              <w:t>Liczba realizowanych prac B+R</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szt.</w:t>
            </w:r>
          </w:p>
        </w:tc>
        <w:tc>
          <w:tcPr>
            <w:tcW w:w="2442" w:type="pct"/>
            <w:shd w:val="clear" w:color="auto" w:fill="auto"/>
          </w:tcPr>
          <w:p w:rsidR="00331F09" w:rsidRPr="00C55C4D" w:rsidRDefault="00C55C4D" w:rsidP="00C55C4D">
            <w:pPr>
              <w:spacing w:before="0" w:line="240" w:lineRule="auto"/>
              <w:rPr>
                <w:rFonts w:asciiTheme="minorHAnsi" w:hAnsiTheme="minorHAnsi"/>
                <w:szCs w:val="22"/>
              </w:rPr>
            </w:pPr>
            <w:r w:rsidRPr="00C55C4D">
              <w:rPr>
                <w:rFonts w:asciiTheme="minorHAnsi" w:hAnsiTheme="minorHAnsi"/>
                <w:szCs w:val="22"/>
              </w:rPr>
              <w:t>Liczba prac B+R, będących w trakcie realizacji lub zrealizowanych przez jednostki naukowe lub przedsiębiorstwa.</w:t>
            </w: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3D2C3D">
        <w:trPr>
          <w:trHeight w:val="20"/>
          <w:jc w:val="center"/>
        </w:trPr>
        <w:tc>
          <w:tcPr>
            <w:tcW w:w="1127" w:type="pct"/>
            <w:shd w:val="clear" w:color="auto" w:fill="auto"/>
          </w:tcPr>
          <w:p w:rsidR="00331F09" w:rsidRPr="00DF2FA3" w:rsidRDefault="00331F09" w:rsidP="00331F09">
            <w:pPr>
              <w:spacing w:before="0" w:line="240" w:lineRule="auto"/>
              <w:rPr>
                <w:rFonts w:ascii="Calibri" w:hAnsi="Calibri" w:cs="Arial"/>
                <w:szCs w:val="22"/>
              </w:rPr>
            </w:pPr>
            <w:r w:rsidRPr="00DF2FA3">
              <w:rPr>
                <w:rFonts w:ascii="Calibri" w:hAnsi="Calibri" w:cs="Arial"/>
                <w:szCs w:val="22"/>
              </w:rPr>
              <w:t>Liczba przedsiębiorstw wspartych w zakresie prowadzenia prac B+R</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szt.</w:t>
            </w:r>
          </w:p>
        </w:tc>
        <w:tc>
          <w:tcPr>
            <w:tcW w:w="2442" w:type="pct"/>
            <w:shd w:val="clear" w:color="auto" w:fill="auto"/>
          </w:tcPr>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Liczba przedsiębiorstw prowadzących prace B+R w ramach wspartego projektu.</w:t>
            </w:r>
          </w:p>
          <w:p w:rsidR="00331F09" w:rsidRPr="00C55C4D" w:rsidRDefault="00331F09" w:rsidP="00944996">
            <w:pPr>
              <w:spacing w:before="0" w:line="240" w:lineRule="auto"/>
              <w:rPr>
                <w:rFonts w:asciiTheme="minorHAnsi" w:hAnsiTheme="minorHAnsi"/>
                <w:szCs w:val="22"/>
              </w:rPr>
            </w:pPr>
          </w:p>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Metoda pomiaru:</w:t>
            </w:r>
          </w:p>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Wskaźnik obejmuje przedsiębiorstwa składające wniosek oraz przedsiębiorstwa będące partnerami w ramach realizowanego projektu i mogące otrzymać wsparcie.</w:t>
            </w:r>
          </w:p>
          <w:p w:rsidR="00A84F1F" w:rsidRPr="00C55C4D" w:rsidRDefault="00A84F1F" w:rsidP="00D23755">
            <w:pPr>
              <w:spacing w:before="0" w:line="240" w:lineRule="auto"/>
              <w:rPr>
                <w:rFonts w:asciiTheme="minorHAnsi" w:hAnsiTheme="minorHAnsi"/>
                <w:szCs w:val="22"/>
              </w:rPr>
            </w:pP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3D2C3D">
        <w:trPr>
          <w:trHeight w:val="20"/>
          <w:jc w:val="center"/>
        </w:trPr>
        <w:tc>
          <w:tcPr>
            <w:tcW w:w="1127" w:type="pct"/>
            <w:shd w:val="clear" w:color="auto" w:fill="auto"/>
          </w:tcPr>
          <w:p w:rsidR="00331F09" w:rsidRPr="00DF2FA3" w:rsidRDefault="00331F09" w:rsidP="00331F09">
            <w:pPr>
              <w:spacing w:before="0" w:line="240" w:lineRule="auto"/>
              <w:rPr>
                <w:rFonts w:ascii="Calibri" w:hAnsi="Calibri" w:cs="Arial"/>
                <w:szCs w:val="22"/>
              </w:rPr>
            </w:pPr>
            <w:r w:rsidRPr="00DF2FA3">
              <w:rPr>
                <w:rFonts w:ascii="Calibri" w:hAnsi="Calibri" w:cs="Arial"/>
                <w:szCs w:val="22"/>
              </w:rPr>
              <w:t>Liczba przedsiębiorstw ponoszących nakłady inwestycyjne na działalność B+R</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szt.</w:t>
            </w:r>
          </w:p>
        </w:tc>
        <w:tc>
          <w:tcPr>
            <w:tcW w:w="2442" w:type="pct"/>
            <w:shd w:val="clear" w:color="auto" w:fill="auto"/>
          </w:tcPr>
          <w:p w:rsidR="00331F09" w:rsidRPr="00C55C4D" w:rsidRDefault="00331F09" w:rsidP="00944996">
            <w:pPr>
              <w:spacing w:before="0" w:line="240" w:lineRule="auto"/>
              <w:rPr>
                <w:rFonts w:asciiTheme="minorHAnsi" w:hAnsiTheme="minorHAnsi"/>
                <w:szCs w:val="22"/>
              </w:rPr>
            </w:pPr>
            <w:r w:rsidRPr="00C55C4D">
              <w:rPr>
                <w:rFonts w:asciiTheme="minorHAnsi" w:hAnsiTheme="minorHAnsi"/>
                <w:szCs w:val="22"/>
              </w:rPr>
              <w:t>Liczba przedsiębiorstw uczestniczących w realizacji projektu w zakresie prowadzenia działalności B+R, obejmującego nakłady inwestycyjne na działalność B+R (zgodnie z katalogiem kosztów kwalifikowanych). Wsparcie infrastruktury badawczej może obejmować budowę, rozbudowę, przebudowę lub doposażenie przez zakup aparatury naukowo-badawczej.</w:t>
            </w:r>
          </w:p>
          <w:p w:rsidR="00331F09" w:rsidRPr="00C55C4D" w:rsidRDefault="00331F09" w:rsidP="00944996">
            <w:pPr>
              <w:spacing w:before="0" w:line="240" w:lineRule="auto"/>
              <w:rPr>
                <w:rFonts w:asciiTheme="minorHAnsi" w:hAnsiTheme="minorHAnsi"/>
                <w:szCs w:val="22"/>
              </w:rPr>
            </w:pPr>
          </w:p>
          <w:p w:rsidR="00331F09" w:rsidRPr="00C55C4D" w:rsidRDefault="00331F09" w:rsidP="00331F09">
            <w:pPr>
              <w:spacing w:before="0" w:line="240" w:lineRule="auto"/>
              <w:rPr>
                <w:rFonts w:asciiTheme="minorHAnsi" w:hAnsiTheme="minorHAnsi"/>
                <w:szCs w:val="22"/>
              </w:rPr>
            </w:pPr>
            <w:r w:rsidRPr="00C55C4D">
              <w:rPr>
                <w:rFonts w:asciiTheme="minorHAnsi" w:hAnsiTheme="minorHAnsi"/>
                <w:szCs w:val="22"/>
              </w:rPr>
              <w:t>Metoda pomiaru:</w:t>
            </w:r>
          </w:p>
          <w:p w:rsidR="00331F09" w:rsidRPr="00C55C4D" w:rsidRDefault="00331F09" w:rsidP="00331F09">
            <w:pPr>
              <w:spacing w:before="0" w:line="240" w:lineRule="auto"/>
              <w:rPr>
                <w:rFonts w:asciiTheme="minorHAnsi" w:hAnsiTheme="minorHAnsi"/>
                <w:szCs w:val="22"/>
              </w:rPr>
            </w:pPr>
            <w:r w:rsidRPr="00C55C4D">
              <w:rPr>
                <w:rFonts w:asciiTheme="minorHAnsi" w:hAnsiTheme="minorHAnsi"/>
                <w:szCs w:val="22"/>
              </w:rPr>
              <w:t>Wskaźnik obejmuje przedsiębiorstwa składające wniosek oraz przedsiębiorstwa będące partnerami w ramach realizowanego projektu i mogące otrzymać wsparcie.</w:t>
            </w:r>
          </w:p>
          <w:p w:rsidR="00A84F1F" w:rsidRPr="00C55C4D" w:rsidRDefault="00A84F1F" w:rsidP="00D23755">
            <w:pPr>
              <w:spacing w:before="0" w:line="240" w:lineRule="auto"/>
              <w:rPr>
                <w:rFonts w:asciiTheme="minorHAnsi" w:hAnsiTheme="minorHAnsi"/>
                <w:szCs w:val="22"/>
              </w:rPr>
            </w:pP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3D2C3D">
        <w:trPr>
          <w:trHeight w:val="20"/>
          <w:jc w:val="center"/>
        </w:trPr>
        <w:tc>
          <w:tcPr>
            <w:tcW w:w="1127" w:type="pct"/>
            <w:shd w:val="clear" w:color="auto" w:fill="auto"/>
          </w:tcPr>
          <w:p w:rsidR="00331F09" w:rsidRPr="00DF2FA3" w:rsidRDefault="00331F09" w:rsidP="00331F09">
            <w:pPr>
              <w:spacing w:before="0" w:line="240" w:lineRule="auto"/>
              <w:rPr>
                <w:rFonts w:ascii="Calibri" w:hAnsi="Calibri" w:cs="Arial"/>
                <w:szCs w:val="22"/>
              </w:rPr>
            </w:pPr>
            <w:r w:rsidRPr="00DF2FA3">
              <w:rPr>
                <w:rFonts w:ascii="Calibri" w:hAnsi="Calibri" w:cs="Arial"/>
                <w:szCs w:val="22"/>
              </w:rPr>
              <w:t>Liczba przedsiębiorstw wspartych w zakresie ekoinnowacji</w:t>
            </w:r>
          </w:p>
        </w:tc>
        <w:tc>
          <w:tcPr>
            <w:tcW w:w="458" w:type="pct"/>
          </w:tcPr>
          <w:p w:rsidR="00331F09" w:rsidRPr="00C55C4D" w:rsidRDefault="00331F09" w:rsidP="00332CDB">
            <w:pPr>
              <w:spacing w:before="0" w:line="240" w:lineRule="auto"/>
              <w:jc w:val="both"/>
              <w:rPr>
                <w:rFonts w:ascii="Calibri" w:eastAsia="Calibri" w:hAnsi="Calibri"/>
                <w:szCs w:val="22"/>
                <w:lang w:eastAsia="en-US"/>
              </w:rPr>
            </w:pPr>
            <w:r w:rsidRPr="00C55C4D">
              <w:rPr>
                <w:rFonts w:ascii="Calibri" w:eastAsia="Calibri" w:hAnsi="Calibri"/>
                <w:szCs w:val="22"/>
                <w:lang w:eastAsia="en-US"/>
              </w:rPr>
              <w:t>szt.</w:t>
            </w:r>
          </w:p>
        </w:tc>
        <w:tc>
          <w:tcPr>
            <w:tcW w:w="2442" w:type="pct"/>
            <w:shd w:val="clear" w:color="auto" w:fill="auto"/>
          </w:tcPr>
          <w:p w:rsidR="00A84F1F" w:rsidRPr="00C55C4D" w:rsidRDefault="00331F09" w:rsidP="00D23755">
            <w:pPr>
              <w:spacing w:before="0" w:line="240" w:lineRule="auto"/>
              <w:rPr>
                <w:rFonts w:asciiTheme="minorHAnsi" w:hAnsiTheme="minorHAnsi"/>
                <w:szCs w:val="22"/>
              </w:rPr>
            </w:pPr>
            <w:r w:rsidRPr="00C55C4D">
              <w:rPr>
                <w:rFonts w:asciiTheme="minorHAnsi" w:hAnsiTheme="minorHAnsi"/>
                <w:szCs w:val="22"/>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973" w:type="pct"/>
          </w:tcPr>
          <w:p w:rsidR="00331F09" w:rsidRPr="00C55C4D" w:rsidRDefault="00331F09"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F02218">
        <w:trPr>
          <w:trHeight w:val="20"/>
          <w:jc w:val="center"/>
        </w:trPr>
        <w:tc>
          <w:tcPr>
            <w:tcW w:w="1127" w:type="pct"/>
            <w:shd w:val="clear" w:color="auto" w:fill="auto"/>
            <w:vAlign w:val="center"/>
          </w:tcPr>
          <w:p w:rsidR="00F02218" w:rsidRPr="00C55C4D" w:rsidRDefault="00A214C1" w:rsidP="00EE4C8C">
            <w:pPr>
              <w:spacing w:before="0" w:line="240" w:lineRule="auto"/>
              <w:rPr>
                <w:rFonts w:asciiTheme="minorHAnsi" w:eastAsiaTheme="minorHAnsi" w:hAnsiTheme="minorHAnsi"/>
                <w:szCs w:val="22"/>
                <w:lang w:eastAsia="en-US"/>
              </w:rPr>
            </w:pPr>
            <w:r w:rsidRPr="00C55C4D">
              <w:rPr>
                <w:rFonts w:asciiTheme="minorHAnsi" w:hAnsiTheme="minorHAnsi"/>
                <w:szCs w:val="22"/>
              </w:rPr>
              <w:t>Liczba obiektów dostosowanych do potrzeb osób z niepełnosprawnościami</w:t>
            </w:r>
          </w:p>
        </w:tc>
        <w:tc>
          <w:tcPr>
            <w:tcW w:w="458" w:type="pct"/>
            <w:vAlign w:val="center"/>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442" w:type="pct"/>
            <w:shd w:val="clear" w:color="auto" w:fill="auto"/>
          </w:tcPr>
          <w:p w:rsidR="007E73B8" w:rsidRPr="00C55C4D" w:rsidRDefault="007E73B8"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7E73B8" w:rsidRPr="00C55C4D" w:rsidRDefault="007E73B8"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7E73B8" w:rsidRPr="00C55C4D" w:rsidRDefault="007E73B8"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Należy podać liczbę obiektów, a nie sprzętów, urządzeń itp., w które obiekty zaopatrzono.</w:t>
            </w:r>
          </w:p>
          <w:p w:rsidR="00F02218" w:rsidRPr="00C55C4D" w:rsidRDefault="007E73B8"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973" w:type="pct"/>
          </w:tcPr>
          <w:p w:rsidR="00F02218" w:rsidRPr="00C55C4D" w:rsidRDefault="00F02218"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t>horyzontalny</w:t>
            </w:r>
          </w:p>
        </w:tc>
      </w:tr>
      <w:tr w:rsidR="00C55C4D" w:rsidRPr="00C55C4D" w:rsidTr="00F02218">
        <w:trPr>
          <w:trHeight w:val="20"/>
          <w:jc w:val="center"/>
        </w:trPr>
        <w:tc>
          <w:tcPr>
            <w:tcW w:w="1127" w:type="pct"/>
            <w:shd w:val="clear" w:color="auto" w:fill="auto"/>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Liczba osób objętych szkoleniami / doradztwem w zakresie kompetencji cyfrowych O/K/M</w:t>
            </w:r>
          </w:p>
        </w:tc>
        <w:tc>
          <w:tcPr>
            <w:tcW w:w="458" w:type="pct"/>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os.</w:t>
            </w:r>
          </w:p>
        </w:tc>
        <w:tc>
          <w:tcPr>
            <w:tcW w:w="2442" w:type="pct"/>
            <w:shd w:val="clear" w:color="auto" w:fill="auto"/>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F02218" w:rsidRPr="00C55C4D" w:rsidRDefault="00331F09"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t>h</w:t>
            </w:r>
            <w:r w:rsidR="00F02218" w:rsidRPr="00C55C4D">
              <w:rPr>
                <w:rFonts w:asciiTheme="minorHAnsi" w:eastAsiaTheme="minorHAnsi" w:hAnsiTheme="minorHAnsi"/>
                <w:szCs w:val="22"/>
                <w:lang w:eastAsia="en-US"/>
              </w:rPr>
              <w:t>oryzontalny</w:t>
            </w:r>
          </w:p>
        </w:tc>
      </w:tr>
      <w:tr w:rsidR="00C55C4D" w:rsidRPr="00C55C4D" w:rsidTr="00F02218">
        <w:trPr>
          <w:trHeight w:val="20"/>
          <w:jc w:val="center"/>
        </w:trPr>
        <w:tc>
          <w:tcPr>
            <w:tcW w:w="1127" w:type="pct"/>
            <w:shd w:val="clear" w:color="auto" w:fill="auto"/>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Liczba projektów, w których sfinansowano koszty racjonalnych usprawnień dla osób z niepełnosprawnościami</w:t>
            </w:r>
          </w:p>
        </w:tc>
        <w:tc>
          <w:tcPr>
            <w:tcW w:w="458" w:type="pct"/>
          </w:tcPr>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szt. </w:t>
            </w:r>
          </w:p>
        </w:tc>
        <w:tc>
          <w:tcPr>
            <w:tcW w:w="2442" w:type="pct"/>
            <w:shd w:val="clear" w:color="auto" w:fill="auto"/>
          </w:tcPr>
          <w:p w:rsidR="00F02218" w:rsidRPr="00C55C4D" w:rsidRDefault="00F02218"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F02218" w:rsidRPr="00C55C4D" w:rsidRDefault="00F02218"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F02218" w:rsidRPr="00C55C4D" w:rsidRDefault="00F02218"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 xml:space="preserve">Definicja na podstawie </w:t>
            </w:r>
            <w:r w:rsidRPr="00C55C4D">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C55C4D">
              <w:rPr>
                <w:rFonts w:asciiTheme="minorHAnsi" w:eastAsiaTheme="minorHAnsi" w:hAnsiTheme="minorHAnsi" w:cs="Arial"/>
                <w:szCs w:val="22"/>
                <w:lang w:eastAsia="en-US"/>
              </w:rPr>
              <w:t>.</w:t>
            </w:r>
          </w:p>
        </w:tc>
        <w:tc>
          <w:tcPr>
            <w:tcW w:w="973" w:type="pct"/>
          </w:tcPr>
          <w:p w:rsidR="00F02218" w:rsidRPr="00C55C4D" w:rsidRDefault="00F02218"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horyzontalny</w:t>
            </w:r>
          </w:p>
        </w:tc>
      </w:tr>
      <w:tr w:rsidR="00A214C1" w:rsidRPr="00C55C4D" w:rsidTr="00F02218">
        <w:trPr>
          <w:trHeight w:val="20"/>
          <w:jc w:val="center"/>
        </w:trPr>
        <w:tc>
          <w:tcPr>
            <w:tcW w:w="1127" w:type="pct"/>
            <w:shd w:val="clear" w:color="auto" w:fill="auto"/>
          </w:tcPr>
          <w:p w:rsidR="00A214C1" w:rsidRPr="00C55C4D" w:rsidRDefault="00A214C1" w:rsidP="00EE4C8C">
            <w:pPr>
              <w:spacing w:before="0" w:line="240" w:lineRule="auto"/>
              <w:rPr>
                <w:rFonts w:ascii="Calibri" w:eastAsiaTheme="minorHAnsi" w:hAnsi="Calibri" w:cs="Arial"/>
                <w:szCs w:val="22"/>
                <w:lang w:eastAsia="en-US"/>
              </w:rPr>
            </w:pPr>
            <w:r w:rsidRPr="00DF2FA3">
              <w:rPr>
                <w:rFonts w:ascii="Calibri" w:hAnsi="Calibri"/>
              </w:rPr>
              <w:t>Liczba podmiotów wykorzystujących technologie informacyjno-komunikacyjne</w:t>
            </w:r>
            <w:r w:rsidR="007E73B8" w:rsidRPr="00DF2FA3">
              <w:rPr>
                <w:rFonts w:ascii="Calibri" w:hAnsi="Calibri"/>
              </w:rPr>
              <w:t xml:space="preserve"> (TIK)</w:t>
            </w:r>
          </w:p>
        </w:tc>
        <w:tc>
          <w:tcPr>
            <w:tcW w:w="458" w:type="pct"/>
          </w:tcPr>
          <w:p w:rsidR="00A214C1" w:rsidRPr="00C55C4D" w:rsidRDefault="00A214C1"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442" w:type="pct"/>
            <w:shd w:val="clear" w:color="auto" w:fill="auto"/>
          </w:tcPr>
          <w:p w:rsidR="007E73B8" w:rsidRPr="00C55C4D" w:rsidRDefault="007E73B8"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7E73B8" w:rsidRPr="00C55C4D" w:rsidRDefault="007E73B8" w:rsidP="007E73B8">
            <w:pPr>
              <w:spacing w:before="0" w:line="240" w:lineRule="auto"/>
              <w:jc w:val="both"/>
              <w:rPr>
                <w:rFonts w:asciiTheme="minorHAnsi" w:eastAsiaTheme="minorHAnsi" w:hAnsiTheme="minorHAnsi"/>
                <w:szCs w:val="22"/>
                <w:lang w:eastAsia="en-US"/>
              </w:rPr>
            </w:pPr>
          </w:p>
          <w:p w:rsidR="007E73B8" w:rsidRPr="00C55C4D" w:rsidRDefault="007E73B8"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7E73B8" w:rsidRPr="00C55C4D" w:rsidRDefault="007E73B8" w:rsidP="007E73B8">
            <w:pPr>
              <w:spacing w:before="0" w:line="240" w:lineRule="auto"/>
              <w:jc w:val="both"/>
              <w:rPr>
                <w:rFonts w:asciiTheme="minorHAnsi" w:eastAsiaTheme="minorHAnsi" w:hAnsiTheme="minorHAnsi"/>
                <w:szCs w:val="22"/>
                <w:lang w:eastAsia="en-US"/>
              </w:rPr>
            </w:pPr>
          </w:p>
          <w:p w:rsidR="007E73B8" w:rsidRPr="00C55C4D" w:rsidRDefault="007E73B8"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7E73B8" w:rsidRPr="00C55C4D" w:rsidRDefault="007E73B8" w:rsidP="007E73B8">
            <w:pPr>
              <w:spacing w:before="0" w:line="240" w:lineRule="auto"/>
              <w:jc w:val="both"/>
              <w:rPr>
                <w:rFonts w:asciiTheme="minorHAnsi" w:eastAsiaTheme="minorHAnsi" w:hAnsiTheme="minorHAnsi"/>
                <w:szCs w:val="22"/>
                <w:lang w:eastAsia="en-US"/>
              </w:rPr>
            </w:pPr>
          </w:p>
          <w:p w:rsidR="00A214C1" w:rsidRPr="00C55C4D" w:rsidRDefault="00CF79AF" w:rsidP="00F60155">
            <w:pPr>
              <w:autoSpaceDE w:val="0"/>
              <w:autoSpaceDN w:val="0"/>
              <w:adjustRightInd w:val="0"/>
              <w:spacing w:before="0" w:line="240" w:lineRule="auto"/>
              <w:jc w:val="both"/>
              <w:rPr>
                <w:rFonts w:asciiTheme="minorHAnsi" w:eastAsiaTheme="minorHAnsi" w:hAnsiTheme="minorHAnsi" w:cs="Arial"/>
                <w:szCs w:val="22"/>
                <w:lang w:eastAsia="en-US"/>
              </w:rPr>
            </w:pPr>
            <w:r w:rsidRPr="00C55C4D">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A214C1" w:rsidRPr="00C55C4D" w:rsidRDefault="00A214C1"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horyzontalny</w:t>
            </w:r>
          </w:p>
        </w:tc>
      </w:tr>
    </w:tbl>
    <w:p w:rsidR="00DF6D97" w:rsidRPr="00C55C4D" w:rsidRDefault="00DF6D97" w:rsidP="007650AC">
      <w:pPr>
        <w:autoSpaceDE w:val="0"/>
        <w:autoSpaceDN w:val="0"/>
        <w:adjustRightInd w:val="0"/>
        <w:spacing w:before="0" w:line="240" w:lineRule="auto"/>
        <w:jc w:val="both"/>
        <w:rPr>
          <w:rFonts w:asciiTheme="minorHAnsi" w:hAnsiTheme="minorHAnsi"/>
        </w:rPr>
      </w:pPr>
    </w:p>
    <w:p w:rsidR="00DF6D97" w:rsidRPr="00C55C4D" w:rsidRDefault="00DF6D97" w:rsidP="004F6746">
      <w:pPr>
        <w:spacing w:before="0" w:after="200" w:line="276" w:lineRule="auto"/>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DF6D97">
      <w:pPr>
        <w:pStyle w:val="Default"/>
        <w:jc w:val="both"/>
        <w:rPr>
          <w:rFonts w:asciiTheme="minorHAnsi" w:hAnsiTheme="minorHAnsi"/>
          <w:sz w:val="22"/>
          <w:szCs w:val="22"/>
        </w:rPr>
      </w:pP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871F22">
      <w:pPr>
        <w:autoSpaceDE w:val="0"/>
        <w:autoSpaceDN w:val="0"/>
        <w:adjustRightInd w:val="0"/>
        <w:spacing w:before="0" w:line="240" w:lineRule="auto"/>
        <w:jc w:val="both"/>
        <w:rPr>
          <w:rFonts w:asciiTheme="minorHAnsi" w:hAnsiTheme="minorHAnsi"/>
          <w:szCs w:val="22"/>
        </w:rPr>
      </w:pPr>
      <w:r w:rsidRPr="00C55C4D">
        <w:rPr>
          <w:rFonts w:asciiTheme="minorHAnsi" w:hAnsiTheme="minorHAnsi"/>
          <w:szCs w:val="22"/>
        </w:rPr>
        <w:t>Jako źródło informacji o wskaźniku wskazać należy odpowiedni dokument (np. ewidencja</w:t>
      </w:r>
      <w:r w:rsidR="00944996" w:rsidRPr="00C55C4D">
        <w:rPr>
          <w:rFonts w:asciiTheme="minorHAnsi" w:hAnsiTheme="minorHAnsi"/>
          <w:szCs w:val="22"/>
        </w:rPr>
        <w:t xml:space="preserve"> </w:t>
      </w:r>
      <w:r w:rsidR="00D23755" w:rsidRPr="00C55C4D">
        <w:rPr>
          <w:rFonts w:asciiTheme="minorHAnsi" w:hAnsiTheme="minorHAnsi"/>
          <w:szCs w:val="22"/>
        </w:rPr>
        <w:t>zgłoszeń patentowych</w:t>
      </w:r>
      <w:r w:rsidRPr="00C55C4D">
        <w:rPr>
          <w:rFonts w:asciiTheme="minorHAnsi" w:hAnsiTheme="minorHAnsi"/>
          <w:szCs w:val="22"/>
        </w:rPr>
        <w:t>.</w:t>
      </w:r>
    </w:p>
    <w:p w:rsidR="008C495E" w:rsidRPr="00C55C4D" w:rsidRDefault="003D3BC5" w:rsidP="007650AC">
      <w:pPr>
        <w:autoSpaceDE w:val="0"/>
        <w:autoSpaceDN w:val="0"/>
        <w:adjustRightInd w:val="0"/>
        <w:spacing w:before="120" w:after="120" w:line="240" w:lineRule="auto"/>
        <w:jc w:val="both"/>
        <w:rPr>
          <w:rFonts w:asciiTheme="minorHAnsi" w:hAnsiTheme="minorHAnsi"/>
          <w:szCs w:val="22"/>
        </w:rPr>
      </w:pPr>
      <w:r w:rsidRPr="00C55C4D">
        <w:rPr>
          <w:rFonts w:asciiTheme="minorHAnsi" w:hAnsiTheme="minorHAnsi"/>
          <w:szCs w:val="22"/>
        </w:rPr>
        <w:t xml:space="preserve">W ramach Działania </w:t>
      </w:r>
      <w:r w:rsidR="00A214C1" w:rsidRPr="00C55C4D">
        <w:rPr>
          <w:rFonts w:asciiTheme="minorHAnsi" w:hAnsiTheme="minorHAnsi"/>
          <w:szCs w:val="22"/>
        </w:rPr>
        <w:t>1.</w:t>
      </w:r>
      <w:r w:rsidR="007127DD" w:rsidRPr="00C55C4D">
        <w:rPr>
          <w:rFonts w:asciiTheme="minorHAnsi" w:hAnsiTheme="minorHAnsi"/>
          <w:szCs w:val="22"/>
        </w:rPr>
        <w:t>2</w:t>
      </w:r>
      <w:r w:rsidR="008F1A47" w:rsidRPr="00C55C4D">
        <w:rPr>
          <w:rFonts w:asciiTheme="minorHAnsi" w:hAnsiTheme="minorHAnsi"/>
          <w:szCs w:val="22"/>
        </w:rPr>
        <w:t>.C.</w:t>
      </w:r>
      <w:r w:rsidR="007127DD" w:rsidRPr="00C55C4D">
        <w:rPr>
          <w:rFonts w:asciiTheme="minorHAnsi" w:hAnsiTheme="minorHAnsi"/>
          <w:szCs w:val="22"/>
        </w:rPr>
        <w:t>b</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p w:rsidR="00331F09" w:rsidRPr="00C55C4D" w:rsidRDefault="00331F09"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Default="00C55C4D" w:rsidP="007650AC">
      <w:pPr>
        <w:autoSpaceDE w:val="0"/>
        <w:autoSpaceDN w:val="0"/>
        <w:adjustRightInd w:val="0"/>
        <w:spacing w:before="120" w:after="120" w:line="240" w:lineRule="auto"/>
        <w:jc w:val="both"/>
        <w:rPr>
          <w:rFonts w:asciiTheme="minorHAnsi" w:hAnsiTheme="minorHAnsi"/>
          <w:szCs w:val="22"/>
        </w:rPr>
      </w:pPr>
    </w:p>
    <w:p w:rsidR="00C55C4D" w:rsidRPr="00C55C4D" w:rsidRDefault="00C55C4D" w:rsidP="007650AC">
      <w:pPr>
        <w:autoSpaceDE w:val="0"/>
        <w:autoSpaceDN w:val="0"/>
        <w:adjustRightInd w:val="0"/>
        <w:spacing w:before="120" w:after="120" w:line="240" w:lineRule="auto"/>
        <w:jc w:val="both"/>
        <w:rPr>
          <w:rFonts w:asciiTheme="minorHAnsi" w:hAnsiTheme="minorHAnsi"/>
          <w:szCs w:val="22"/>
        </w:rPr>
      </w:pPr>
    </w:p>
    <w:p w:rsidR="00331F09" w:rsidRDefault="00331F09" w:rsidP="007650AC">
      <w:pPr>
        <w:autoSpaceDE w:val="0"/>
        <w:autoSpaceDN w:val="0"/>
        <w:adjustRightInd w:val="0"/>
        <w:spacing w:before="120" w:after="120" w:line="240" w:lineRule="auto"/>
        <w:jc w:val="both"/>
        <w:rPr>
          <w:rFonts w:asciiTheme="minorHAnsi" w:hAnsiTheme="minorHAnsi"/>
          <w:szCs w:val="22"/>
        </w:rPr>
      </w:pPr>
    </w:p>
    <w:p w:rsidR="00C55C4D" w:rsidRPr="00C55C4D" w:rsidRDefault="00C55C4D" w:rsidP="007650AC">
      <w:pPr>
        <w:autoSpaceDE w:val="0"/>
        <w:autoSpaceDN w:val="0"/>
        <w:adjustRightInd w:val="0"/>
        <w:spacing w:before="120" w:after="120" w:line="240" w:lineRule="auto"/>
        <w:jc w:val="both"/>
        <w:rPr>
          <w:rFonts w:asciiTheme="minorHAnsi" w:hAnsiTheme="minorHAnsi"/>
          <w:szCs w:val="22"/>
        </w:rPr>
      </w:pPr>
    </w:p>
    <w:p w:rsidR="00331F09" w:rsidRPr="00C55C4D" w:rsidRDefault="00331F09" w:rsidP="007650AC">
      <w:pPr>
        <w:autoSpaceDE w:val="0"/>
        <w:autoSpaceDN w:val="0"/>
        <w:adjustRightInd w:val="0"/>
        <w:spacing w:before="120" w:after="120" w:line="240" w:lineRule="auto"/>
        <w:jc w:val="both"/>
        <w:rPr>
          <w:rFonts w:asciiTheme="minorHAnsi" w:hAnsiTheme="minorHAnsi"/>
          <w:szCs w:val="22"/>
        </w:rPr>
      </w:pP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60"/>
        <w:gridCol w:w="1273"/>
        <w:gridCol w:w="3743"/>
        <w:gridCol w:w="1905"/>
      </w:tblGrid>
      <w:tr w:rsidR="00C55C4D" w:rsidRPr="00C55C4D" w:rsidTr="00852665">
        <w:trPr>
          <w:trHeight w:val="19"/>
          <w:jc w:val="center"/>
        </w:trPr>
        <w:tc>
          <w:tcPr>
            <w:tcW w:w="1189" w:type="pct"/>
            <w:shd w:val="clear" w:color="auto" w:fill="auto"/>
            <w:vAlign w:val="center"/>
          </w:tcPr>
          <w:p w:rsidR="005657D8" w:rsidRPr="00C55C4D" w:rsidRDefault="005657D8" w:rsidP="007650AC">
            <w:pPr>
              <w:spacing w:before="0" w:line="240" w:lineRule="auto"/>
              <w:jc w:val="center"/>
              <w:rPr>
                <w:rFonts w:asciiTheme="minorHAnsi" w:hAnsiTheme="minorHAnsi"/>
                <w:b/>
                <w:szCs w:val="22"/>
              </w:rPr>
            </w:pPr>
            <w:r w:rsidRPr="00C55C4D">
              <w:rPr>
                <w:rFonts w:asciiTheme="minorHAnsi" w:hAnsiTheme="minorHAnsi"/>
                <w:b/>
                <w:szCs w:val="22"/>
              </w:rPr>
              <w:t>Nazwa wskaźnika rezultatu bezpośredniego</w:t>
            </w:r>
          </w:p>
        </w:tc>
        <w:tc>
          <w:tcPr>
            <w:tcW w:w="701" w:type="pct"/>
          </w:tcPr>
          <w:p w:rsidR="005657D8" w:rsidRPr="00C55C4D" w:rsidRDefault="005657D8" w:rsidP="007650AC">
            <w:pPr>
              <w:suppressAutoHyphens/>
              <w:spacing w:before="0" w:line="240" w:lineRule="auto"/>
              <w:jc w:val="center"/>
              <w:rPr>
                <w:rFonts w:asciiTheme="minorHAnsi" w:hAnsiTheme="minorHAnsi"/>
                <w:b/>
                <w:bCs/>
                <w:szCs w:val="22"/>
              </w:rPr>
            </w:pPr>
            <w:r w:rsidRPr="00C55C4D">
              <w:rPr>
                <w:rFonts w:asciiTheme="minorHAnsi" w:hAnsiTheme="minorHAnsi"/>
                <w:b/>
                <w:bCs/>
                <w:szCs w:val="22"/>
              </w:rPr>
              <w:t>Jednostka miary</w:t>
            </w:r>
          </w:p>
        </w:tc>
        <w:tc>
          <w:tcPr>
            <w:tcW w:w="2061" w:type="pct"/>
            <w:shd w:val="clear" w:color="auto" w:fill="auto"/>
            <w:vAlign w:val="center"/>
          </w:tcPr>
          <w:p w:rsidR="005657D8" w:rsidRPr="00C55C4D" w:rsidRDefault="005657D8" w:rsidP="007650AC">
            <w:pPr>
              <w:suppressAutoHyphens/>
              <w:spacing w:before="0" w:line="240" w:lineRule="auto"/>
              <w:jc w:val="center"/>
              <w:rPr>
                <w:rFonts w:asciiTheme="minorHAnsi" w:hAnsiTheme="minorHAnsi"/>
                <w:b/>
                <w:szCs w:val="22"/>
              </w:rPr>
            </w:pPr>
            <w:r w:rsidRPr="00C55C4D">
              <w:rPr>
                <w:rFonts w:asciiTheme="minorHAnsi" w:hAnsiTheme="minorHAnsi"/>
                <w:b/>
                <w:bCs/>
                <w:szCs w:val="22"/>
              </w:rPr>
              <w:t>Definicja wskaźnika</w:t>
            </w:r>
          </w:p>
        </w:tc>
        <w:tc>
          <w:tcPr>
            <w:tcW w:w="1049" w:type="pct"/>
          </w:tcPr>
          <w:p w:rsidR="005657D8" w:rsidRPr="00C55C4D" w:rsidRDefault="007E025A" w:rsidP="007650AC">
            <w:pPr>
              <w:suppressAutoHyphens/>
              <w:spacing w:before="0" w:line="240" w:lineRule="auto"/>
              <w:jc w:val="center"/>
              <w:rPr>
                <w:rFonts w:asciiTheme="minorHAnsi" w:hAnsiTheme="minorHAnsi"/>
                <w:b/>
                <w:bCs/>
                <w:szCs w:val="22"/>
              </w:rPr>
            </w:pPr>
            <w:r w:rsidRPr="00C55C4D">
              <w:rPr>
                <w:rFonts w:asciiTheme="minorHAnsi" w:hAnsiTheme="minorHAnsi"/>
                <w:b/>
                <w:bCs/>
                <w:szCs w:val="22"/>
              </w:rPr>
              <w:t>Rodzaj dokumentu, w </w:t>
            </w:r>
            <w:r w:rsidR="005657D8" w:rsidRPr="00C55C4D">
              <w:rPr>
                <w:rFonts w:asciiTheme="minorHAnsi" w:hAnsiTheme="minorHAnsi"/>
                <w:b/>
                <w:bCs/>
                <w:szCs w:val="22"/>
              </w:rPr>
              <w:t>którym określono wskaźnik</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31F09" w:rsidRPr="00C55C4D" w:rsidRDefault="00331F09" w:rsidP="00852665">
            <w:pPr>
              <w:pStyle w:val="Default"/>
              <w:rPr>
                <w:rFonts w:asciiTheme="minorHAnsi" w:hAnsiTheme="minorHAnsi"/>
                <w:sz w:val="22"/>
                <w:szCs w:val="22"/>
              </w:rPr>
            </w:pPr>
            <w:r w:rsidRPr="00DF2FA3">
              <w:rPr>
                <w:rFonts w:ascii="Calibri" w:eastAsia="Calibri" w:hAnsi="Calibri" w:cs="Arial"/>
                <w:sz w:val="22"/>
                <w:lang w:eastAsia="en-US"/>
              </w:rPr>
              <w:t>Liczba dokonanych zgłoszeń patentowych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31F09" w:rsidRPr="00C55C4D" w:rsidRDefault="00331F09"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31F09" w:rsidRPr="00C55C4D" w:rsidRDefault="00356F23" w:rsidP="00871F22">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Liczba zgłoszeń wynalazku w celu uzyskania patentu zapewniającego prawo do wyłącznego korzystania z danego wynalazku poza granicami RP, tj.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wynalazku jednocześnie w wielu krajach.</w:t>
            </w:r>
          </w:p>
          <w:p w:rsidR="00356F23" w:rsidRPr="00C55C4D" w:rsidRDefault="00356F23" w:rsidP="00871F22">
            <w:pPr>
              <w:pStyle w:val="Default"/>
              <w:rPr>
                <w:rFonts w:asciiTheme="minorHAnsi" w:eastAsiaTheme="minorHAnsi" w:hAnsiTheme="minorHAnsi" w:cs="Verdana"/>
                <w:sz w:val="22"/>
                <w:szCs w:val="22"/>
                <w:lang w:eastAsia="en-US"/>
              </w:rPr>
            </w:pPr>
          </w:p>
          <w:p w:rsidR="00356F23" w:rsidRPr="00C55C4D" w:rsidRDefault="00356F23" w:rsidP="00356F23">
            <w:pPr>
              <w:spacing w:before="0" w:line="240" w:lineRule="auto"/>
              <w:rPr>
                <w:rFonts w:asciiTheme="minorHAnsi" w:hAnsiTheme="minorHAnsi"/>
                <w:szCs w:val="22"/>
              </w:rPr>
            </w:pPr>
            <w:r w:rsidRPr="00C55C4D">
              <w:rPr>
                <w:rFonts w:asciiTheme="minorHAnsi" w:hAnsiTheme="minorHAnsi"/>
                <w:szCs w:val="22"/>
              </w:rPr>
              <w:t>Metoda pomiaru:</w:t>
            </w:r>
          </w:p>
          <w:p w:rsidR="00356F23" w:rsidRPr="00C55C4D" w:rsidRDefault="00356F23" w:rsidP="00356F23">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Wskaźnik powinien być liczony od momentu publikacji zgłoszenia. Zgłoszenie patentowe obejmujące konkretne rozwiązanie powinno być liczone wyłącznie jeden raz, bez względu na fakt zgłoszenia w różnych formach i urzędach patentowych.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31F09" w:rsidRPr="00C55C4D" w:rsidRDefault="00331F09" w:rsidP="003F1889">
            <w:pPr>
              <w:spacing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31F09" w:rsidRPr="00C55C4D" w:rsidRDefault="00331F09" w:rsidP="00852665">
            <w:pPr>
              <w:pStyle w:val="Default"/>
              <w:rPr>
                <w:rFonts w:asciiTheme="minorHAnsi" w:hAnsiTheme="minorHAnsi"/>
                <w:sz w:val="22"/>
                <w:szCs w:val="22"/>
              </w:rPr>
            </w:pPr>
            <w:r w:rsidRPr="00DF2FA3">
              <w:rPr>
                <w:rFonts w:ascii="Calibri" w:eastAsia="Calibri" w:hAnsi="Calibri" w:cs="Arial"/>
                <w:sz w:val="22"/>
                <w:lang w:eastAsia="en-US"/>
              </w:rPr>
              <w:t>Liczba zgłoszeń wzorów użytkowych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31F09" w:rsidRPr="00C55C4D" w:rsidRDefault="00331F09"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31F09" w:rsidRPr="00C55C4D" w:rsidRDefault="00E27D1D" w:rsidP="00871F22">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Liczba zgłoszeń wzorów użytkowych, dokonanych w wyniku realizowanego projektu, w celu uzyskania praw ochronnych, zapewniających prawo do wyłącznego korzystania ze wzoru użytkowego poza granicami RP, tzn.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wzoru użytkowego jednocześnie w wielu krajach.</w:t>
            </w:r>
          </w:p>
          <w:p w:rsidR="00E27D1D" w:rsidRPr="00C55C4D" w:rsidRDefault="00E27D1D" w:rsidP="00871F22">
            <w:pPr>
              <w:pStyle w:val="Default"/>
              <w:rPr>
                <w:rFonts w:asciiTheme="minorHAnsi" w:eastAsiaTheme="minorHAnsi" w:hAnsiTheme="minorHAnsi" w:cs="Verdana"/>
                <w:sz w:val="22"/>
                <w:szCs w:val="22"/>
                <w:lang w:eastAsia="en-US"/>
              </w:rPr>
            </w:pPr>
          </w:p>
          <w:p w:rsidR="00E27D1D" w:rsidRPr="00C55C4D" w:rsidRDefault="00E27D1D" w:rsidP="00E27D1D">
            <w:pPr>
              <w:spacing w:before="0" w:line="240" w:lineRule="auto"/>
              <w:rPr>
                <w:rFonts w:asciiTheme="minorHAnsi" w:hAnsiTheme="minorHAnsi"/>
                <w:szCs w:val="22"/>
              </w:rPr>
            </w:pPr>
            <w:r w:rsidRPr="00C55C4D">
              <w:rPr>
                <w:rFonts w:asciiTheme="minorHAnsi" w:hAnsiTheme="minorHAnsi"/>
                <w:szCs w:val="22"/>
              </w:rPr>
              <w:t>Metoda pomiaru:</w:t>
            </w:r>
          </w:p>
          <w:p w:rsidR="00E27D1D" w:rsidRPr="00C55C4D" w:rsidRDefault="00E27D1D" w:rsidP="00871F22">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Zgłoszenie wzoru użytkowego obejmujące konkretne rozwiązanie powinno być liczone wyłącznie jeden raz, bez względu na fakt zgłoszenia w różnych formach i urzędach patentowych.</w:t>
            </w:r>
          </w:p>
          <w:p w:rsidR="00E27D1D" w:rsidRPr="00C55C4D" w:rsidRDefault="00E27D1D" w:rsidP="00871F22">
            <w:pPr>
              <w:pStyle w:val="Default"/>
              <w:rPr>
                <w:rFonts w:asciiTheme="minorHAnsi" w:eastAsiaTheme="minorHAnsi" w:hAnsiTheme="minorHAnsi" w:cs="Verdana"/>
                <w:sz w:val="22"/>
                <w:szCs w:val="22"/>
                <w:lang w:eastAsia="en-US"/>
              </w:rPr>
            </w:pPr>
          </w:p>
          <w:p w:rsidR="00E27D1D" w:rsidRPr="00C55C4D" w:rsidRDefault="00E27D1D" w:rsidP="00871F22">
            <w:pPr>
              <w:pStyle w:val="Default"/>
              <w:rPr>
                <w:rFonts w:asciiTheme="minorHAnsi" w:eastAsiaTheme="minorHAnsi" w:hAnsiTheme="minorHAnsi" w:cs="Verdana"/>
                <w:sz w:val="22"/>
                <w:szCs w:val="22"/>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31F09" w:rsidRPr="00C55C4D" w:rsidRDefault="00331F09" w:rsidP="003F1889">
            <w:pPr>
              <w:spacing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31F09" w:rsidRPr="00C55C4D" w:rsidRDefault="00331F09" w:rsidP="00852665">
            <w:pPr>
              <w:pStyle w:val="Default"/>
              <w:rPr>
                <w:rFonts w:asciiTheme="minorHAnsi" w:hAnsiTheme="minorHAnsi"/>
                <w:sz w:val="22"/>
                <w:szCs w:val="22"/>
              </w:rPr>
            </w:pPr>
            <w:r w:rsidRPr="00DF2FA3">
              <w:rPr>
                <w:rFonts w:ascii="Calibri" w:eastAsia="Calibri" w:hAnsi="Calibri" w:cs="Arial"/>
                <w:sz w:val="22"/>
                <w:lang w:eastAsia="en-US"/>
              </w:rPr>
              <w:t>Liczba zgłoszeń wzorów przemysłowych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31F09" w:rsidRPr="00C55C4D" w:rsidRDefault="00331F09"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31F09" w:rsidRPr="00C55C4D" w:rsidRDefault="00E27D1D" w:rsidP="00871F22">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 xml:space="preserve">Liczba zgłoszeń wzorów przemysłowych, dokonanych w wyniku realizowanego projektu, w celu uzyskania praw z rejestracji, zapewniających prawo do wyłącznego korzystania ze wzoru przemysłowego poza granicami RP, tzn. dokonanych w trybie krajowym w urzędzie właściwym ds. ochrony własności przemysłowej w danym państwie, w trybie regionalnym: w Urzędzie Harmonizacji Rynku Wewnętrznego w Hiszpanii (bezpośrednio lub poprzez Urząd Patentowy RP) w celu uzyskania ochrony na obszarze UE na podstawie Rozporządzenia w sprawie wzorów wspólnotowych lub innych regionalnych urzędach ds. własności przemysłowej, tj. Urzędzie Znaków Towarowych Beneluksu, Afrykańskiej Organizacji Własności Przemysłowej lub Afrykańskiej Organizacji Własności Intelektualnej oraz w systemie międzynarodowym, czyli w Biurze Międzynarodowym Światowej Organizacji Własności Intelektualnej w Szwajcarii na podstawie Aktu genewskiego Porozumienia haskiego. </w:t>
            </w:r>
          </w:p>
          <w:p w:rsidR="00E27D1D" w:rsidRPr="00C55C4D" w:rsidRDefault="00E27D1D" w:rsidP="00871F22">
            <w:pPr>
              <w:pStyle w:val="Default"/>
              <w:rPr>
                <w:rFonts w:asciiTheme="minorHAnsi" w:eastAsiaTheme="minorHAnsi" w:hAnsiTheme="minorHAnsi" w:cs="Verdana"/>
                <w:sz w:val="22"/>
                <w:szCs w:val="22"/>
                <w:lang w:eastAsia="en-US"/>
              </w:rPr>
            </w:pPr>
          </w:p>
          <w:p w:rsidR="00E27D1D" w:rsidRPr="00C55C4D" w:rsidRDefault="00E27D1D" w:rsidP="00E27D1D">
            <w:pPr>
              <w:spacing w:before="0" w:line="240" w:lineRule="auto"/>
              <w:rPr>
                <w:rFonts w:asciiTheme="minorHAnsi" w:hAnsiTheme="minorHAnsi"/>
                <w:szCs w:val="22"/>
              </w:rPr>
            </w:pPr>
            <w:r w:rsidRPr="00C55C4D">
              <w:rPr>
                <w:rFonts w:asciiTheme="minorHAnsi" w:hAnsiTheme="minorHAnsi"/>
                <w:szCs w:val="22"/>
              </w:rPr>
              <w:t>Metoda pomiaru:</w:t>
            </w:r>
          </w:p>
          <w:p w:rsidR="00E27D1D" w:rsidRPr="00C55C4D" w:rsidRDefault="00E27D1D" w:rsidP="00871F22">
            <w:pPr>
              <w:pStyle w:val="Default"/>
              <w:rPr>
                <w:rFonts w:asciiTheme="minorHAnsi" w:eastAsiaTheme="minorHAnsi" w:hAnsiTheme="minorHAnsi" w:cs="Verdana"/>
                <w:sz w:val="22"/>
                <w:szCs w:val="22"/>
                <w:lang w:eastAsia="en-US"/>
              </w:rPr>
            </w:pPr>
            <w:r w:rsidRPr="00C55C4D">
              <w:rPr>
                <w:rFonts w:asciiTheme="minorHAnsi" w:eastAsiaTheme="minorHAnsi" w:hAnsiTheme="minorHAnsi" w:cs="Verdana"/>
                <w:sz w:val="22"/>
                <w:szCs w:val="22"/>
                <w:lang w:eastAsia="en-US"/>
              </w:rPr>
              <w:t>Zgłoszenie wzoru przemysłowego obejmujące konkretne rozwiązanie powinno być liczone wyłącznie jeden raz, bez względu na fakt zgłoszenia w różnych formach i urzędach patentowych.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31F09" w:rsidRPr="00C55C4D" w:rsidRDefault="00331F09" w:rsidP="003F1889">
            <w:pPr>
              <w:spacing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871F22" w:rsidRPr="00C55C4D" w:rsidRDefault="00871F22" w:rsidP="00852665">
            <w:pPr>
              <w:pStyle w:val="Default"/>
              <w:rPr>
                <w:rFonts w:asciiTheme="minorHAnsi" w:hAnsiTheme="minorHAnsi" w:cs="ArialNarrow"/>
                <w:sz w:val="22"/>
                <w:szCs w:val="22"/>
              </w:rPr>
            </w:pPr>
            <w:r w:rsidRPr="00C55C4D">
              <w:rPr>
                <w:rFonts w:asciiTheme="minorHAnsi" w:hAnsiTheme="minorHAnsi"/>
                <w:sz w:val="22"/>
                <w:szCs w:val="22"/>
              </w:rPr>
              <w:t>Wzrost zatrudnienia we wspieranych przedsiębiorstwach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71F22" w:rsidRPr="00C55C4D" w:rsidRDefault="00871F22"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71F22" w:rsidRPr="00C55C4D" w:rsidRDefault="00871F22" w:rsidP="00871F22">
            <w:pPr>
              <w:pStyle w:val="Default"/>
              <w:rPr>
                <w:rFonts w:asciiTheme="minorHAnsi" w:eastAsiaTheme="minorHAnsi" w:hAnsiTheme="minorHAnsi" w:cs="Verdana"/>
                <w:sz w:val="22"/>
                <w:szCs w:val="22"/>
                <w:lang w:val="en-US" w:eastAsia="en-US"/>
              </w:rPr>
            </w:pPr>
            <w:r w:rsidRPr="00C55C4D">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organisation. The indicator should be used if the employment increase can plausibly be attributed to the support. Full-time equivalent: Jobs can be full time, parttime or seasonal. Seasonal and part time jobs are to be converted to FTE using ILO/statistical/other standards. </w:t>
            </w:r>
          </w:p>
          <w:p w:rsidR="00871F22" w:rsidRPr="00C55C4D" w:rsidRDefault="00871F22" w:rsidP="00871F22">
            <w:pPr>
              <w:pStyle w:val="Default"/>
              <w:rPr>
                <w:rFonts w:asciiTheme="minorHAnsi" w:eastAsiaTheme="minorHAnsi" w:hAnsiTheme="minorHAnsi" w:cs="Verdana"/>
                <w:sz w:val="22"/>
                <w:szCs w:val="22"/>
                <w:lang w:val="en-US" w:eastAsia="en-US"/>
              </w:rPr>
            </w:pPr>
          </w:p>
          <w:p w:rsidR="00871F22" w:rsidRPr="00C55C4D" w:rsidRDefault="00871F22" w:rsidP="00871F22">
            <w:pPr>
              <w:pStyle w:val="Default"/>
              <w:rPr>
                <w:rFonts w:asciiTheme="minorHAnsi" w:hAnsiTheme="minorHAnsi"/>
                <w:b/>
                <w:iCs/>
                <w:sz w:val="22"/>
                <w:szCs w:val="22"/>
              </w:rPr>
            </w:pPr>
            <w:r w:rsidRPr="00C55C4D">
              <w:rPr>
                <w:rFonts w:asciiTheme="minorHAnsi" w:hAnsiTheme="minorHAnsi"/>
                <w:b/>
                <w:iCs/>
                <w:sz w:val="22"/>
                <w:szCs w:val="22"/>
              </w:rPr>
              <w:t>Wersja robocza:</w:t>
            </w:r>
          </w:p>
          <w:p w:rsidR="00871F22" w:rsidRPr="00C55C4D" w:rsidRDefault="00871F22" w:rsidP="00871F22">
            <w:pPr>
              <w:autoSpaceDE w:val="0"/>
              <w:autoSpaceDN w:val="0"/>
              <w:adjustRightInd w:val="0"/>
              <w:spacing w:before="0" w:line="240" w:lineRule="auto"/>
              <w:rPr>
                <w:rFonts w:asciiTheme="minorHAnsi" w:eastAsiaTheme="minorHAnsi" w:hAnsiTheme="minorHAnsi" w:cs="Verdana"/>
                <w:szCs w:val="22"/>
                <w:lang w:eastAsia="en-US"/>
              </w:rPr>
            </w:pPr>
            <w:r w:rsidRPr="00C55C4D">
              <w:rPr>
                <w:rFonts w:asciiTheme="minorHAnsi" w:eastAsiaTheme="minorHAnsi" w:hAnsiTheme="minorHAnsi" w:cs="Verdana"/>
                <w:szCs w:val="22"/>
                <w:lang w:eastAsia="en-US"/>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871F22" w:rsidRPr="00C55C4D" w:rsidRDefault="00871F22" w:rsidP="00871F22">
            <w:pPr>
              <w:autoSpaceDE w:val="0"/>
              <w:autoSpaceDN w:val="0"/>
              <w:adjustRightInd w:val="0"/>
              <w:spacing w:before="0" w:line="240" w:lineRule="auto"/>
              <w:rPr>
                <w:rFonts w:asciiTheme="minorHAnsi" w:eastAsiaTheme="minorHAnsi" w:hAnsiTheme="minorHAnsi" w:cs="Verdana"/>
                <w:szCs w:val="22"/>
                <w:lang w:eastAsia="en-US"/>
              </w:rPr>
            </w:pPr>
          </w:p>
          <w:p w:rsidR="00871F22" w:rsidRPr="00C55C4D" w:rsidRDefault="00871F22" w:rsidP="00871F22">
            <w:pPr>
              <w:autoSpaceDE w:val="0"/>
              <w:autoSpaceDN w:val="0"/>
              <w:adjustRightInd w:val="0"/>
              <w:spacing w:before="0" w:line="240" w:lineRule="auto"/>
              <w:rPr>
                <w:rFonts w:asciiTheme="minorHAnsi" w:hAnsiTheme="minorHAnsi"/>
                <w:szCs w:val="22"/>
              </w:rPr>
            </w:pPr>
            <w:r w:rsidRPr="00C55C4D">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871F22" w:rsidRPr="00C55C4D" w:rsidRDefault="00871F22" w:rsidP="003F1889">
            <w:pPr>
              <w:spacing w:line="240" w:lineRule="auto"/>
              <w:jc w:val="center"/>
              <w:rPr>
                <w:rFonts w:asciiTheme="minorHAnsi" w:hAnsiTheme="minorHAnsi"/>
                <w:szCs w:val="22"/>
              </w:rPr>
            </w:pPr>
            <w:r w:rsidRPr="00C55C4D">
              <w:rPr>
                <w:rFonts w:asciiTheme="minorHAnsi" w:hAnsiTheme="minorHAnsi"/>
                <w:szCs w:val="22"/>
              </w:rPr>
              <w:t>SZOOP RPO WD  2014-2020</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852665" w:rsidRPr="00C55C4D" w:rsidRDefault="00852665" w:rsidP="00852665">
            <w:pPr>
              <w:pStyle w:val="Default"/>
              <w:rPr>
                <w:rFonts w:asciiTheme="minorHAnsi" w:hAnsiTheme="minorHAnsi" w:cs="ArialNarrow"/>
                <w:sz w:val="22"/>
                <w:szCs w:val="22"/>
              </w:rPr>
            </w:pPr>
            <w:r w:rsidRPr="00C55C4D">
              <w:rPr>
                <w:rFonts w:asciiTheme="minorHAnsi" w:hAnsiTheme="minorHAnsi" w:cs="ArialNarrow"/>
                <w:sz w:val="22"/>
                <w:szCs w:val="22"/>
              </w:rPr>
              <w:t>Wzrost zatrudnienia we wspieranych podmiotach (innych niż przedsiębiorstwa)</w:t>
            </w:r>
          </w:p>
          <w:p w:rsidR="00852665" w:rsidRPr="00C55C4D" w:rsidRDefault="00852665" w:rsidP="00852665">
            <w:pPr>
              <w:pStyle w:val="Default"/>
              <w:rPr>
                <w:rFonts w:asciiTheme="minorHAnsi" w:hAnsiTheme="minorHAnsi" w:cs="ArialNarrow"/>
                <w:sz w:val="22"/>
                <w:szCs w:val="22"/>
              </w:rPr>
            </w:pPr>
            <w:r w:rsidRPr="00C55C4D">
              <w:rPr>
                <w:rFonts w:asciiTheme="minorHAnsi" w:hAnsiTheme="minorHAnsi" w:cs="ArialNarrow"/>
                <w:sz w:val="22"/>
                <w:szCs w:val="22"/>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665" w:rsidRPr="00C55C4D" w:rsidRDefault="00852665"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E1C5E" w:rsidRPr="00C55C4D" w:rsidRDefault="00871F22" w:rsidP="00EE4C8C">
            <w:pPr>
              <w:autoSpaceDE w:val="0"/>
              <w:autoSpaceDN w:val="0"/>
              <w:adjustRightInd w:val="0"/>
              <w:spacing w:before="0" w:line="240" w:lineRule="auto"/>
              <w:rPr>
                <w:rFonts w:asciiTheme="minorHAnsi" w:hAnsiTheme="minorHAnsi"/>
                <w:szCs w:val="22"/>
              </w:rPr>
            </w:pPr>
            <w:r w:rsidRPr="00C55C4D">
              <w:rPr>
                <w:rFonts w:asciiTheme="minorHAnsi" w:hAnsiTheme="minorHAnsi"/>
                <w:szCs w:val="22"/>
              </w:rPr>
              <w:t xml:space="preserve">Definicja jak wyżej w odniesieniu do podmiotów innych niż przedsiębiorstwa </w:t>
            </w:r>
          </w:p>
          <w:p w:rsidR="002A20B7" w:rsidRPr="00C55C4D" w:rsidRDefault="002A20B7" w:rsidP="00EE4C8C">
            <w:pPr>
              <w:autoSpaceDE w:val="0"/>
              <w:autoSpaceDN w:val="0"/>
              <w:adjustRightInd w:val="0"/>
              <w:spacing w:before="0" w:line="240" w:lineRule="auto"/>
              <w:rPr>
                <w:rFonts w:asciiTheme="minorHAnsi" w:eastAsiaTheme="minorHAnsi" w:hAnsiTheme="minorHAnsi" w:cstheme="minorBidi"/>
                <w:szCs w:val="22"/>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852665" w:rsidRPr="00C55C4D" w:rsidRDefault="00852665" w:rsidP="003F1889">
            <w:pPr>
              <w:spacing w:line="240" w:lineRule="auto"/>
              <w:jc w:val="center"/>
              <w:rPr>
                <w:rFonts w:asciiTheme="minorHAnsi" w:hAnsiTheme="minorHAnsi"/>
                <w:szCs w:val="22"/>
              </w:rPr>
            </w:pPr>
            <w:r w:rsidRPr="00C55C4D">
              <w:rPr>
                <w:rFonts w:asciiTheme="minorHAnsi" w:hAnsiTheme="minorHAnsi"/>
                <w:szCs w:val="22"/>
              </w:rPr>
              <w:t>horyzontalny</w:t>
            </w:r>
          </w:p>
        </w:tc>
      </w:tr>
      <w:tr w:rsidR="00C55C4D" w:rsidRPr="00C55C4D"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C55C7" w:rsidRPr="00C55C4D" w:rsidRDefault="003C55C7" w:rsidP="007650AC">
            <w:pPr>
              <w:pStyle w:val="Default"/>
              <w:rPr>
                <w:rFonts w:asciiTheme="minorHAnsi" w:hAnsiTheme="minorHAnsi" w:cs="ArialNarrow"/>
                <w:sz w:val="22"/>
                <w:szCs w:val="22"/>
              </w:rPr>
            </w:pPr>
            <w:r w:rsidRPr="00C55C4D">
              <w:rPr>
                <w:rFonts w:asciiTheme="minorHAnsi" w:hAnsiTheme="minorHAnsi" w:cs="ArialNarrow"/>
                <w:sz w:val="22"/>
                <w:szCs w:val="22"/>
              </w:rPr>
              <w:t>Liczba utrzymanych miejsc pracy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C55C7" w:rsidRPr="00C55C4D" w:rsidRDefault="003C55C7"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C55C7" w:rsidRPr="00C55C4D" w:rsidRDefault="003C55C7" w:rsidP="00EE4C8C">
            <w:pPr>
              <w:autoSpaceDE w:val="0"/>
              <w:autoSpaceDN w:val="0"/>
              <w:adjustRightInd w:val="0"/>
              <w:spacing w:before="0" w:line="240" w:lineRule="auto"/>
              <w:rPr>
                <w:rFonts w:asciiTheme="minorHAnsi" w:eastAsiaTheme="minorHAnsi" w:hAnsiTheme="minorHAnsi" w:cstheme="minorBidi"/>
                <w:szCs w:val="22"/>
                <w:lang w:eastAsia="en-US"/>
              </w:rPr>
            </w:pPr>
            <w:r w:rsidRPr="00C55C4D">
              <w:rPr>
                <w:rFonts w:asciiTheme="minorHAnsi" w:eastAsiaTheme="minorHAnsi" w:hAnsiTheme="minorHAnsi" w:cstheme="minorBidi"/>
                <w:szCs w:val="22"/>
                <w:lang w:eastAsia="en-US"/>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C55C7" w:rsidRPr="00C55C4D" w:rsidRDefault="003C55C7" w:rsidP="003F1889">
            <w:pPr>
              <w:spacing w:line="240" w:lineRule="auto"/>
              <w:jc w:val="center"/>
              <w:rPr>
                <w:rFonts w:asciiTheme="minorHAnsi" w:hAnsiTheme="minorHAnsi"/>
                <w:szCs w:val="22"/>
              </w:rPr>
            </w:pPr>
            <w:r w:rsidRPr="00C55C4D">
              <w:rPr>
                <w:rFonts w:asciiTheme="minorHAnsi" w:hAnsiTheme="minorHAnsi"/>
                <w:szCs w:val="22"/>
              </w:rPr>
              <w:t>horyzontalny</w:t>
            </w:r>
          </w:p>
        </w:tc>
      </w:tr>
      <w:tr w:rsidR="003C55C7" w:rsidRPr="00C55C4D" w:rsidTr="00852665">
        <w:trPr>
          <w:cantSplit/>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3C55C7" w:rsidRPr="00C55C4D" w:rsidRDefault="003C55C7" w:rsidP="007650AC">
            <w:pPr>
              <w:pStyle w:val="Default"/>
              <w:rPr>
                <w:rFonts w:asciiTheme="minorHAnsi" w:hAnsiTheme="minorHAnsi" w:cs="ArialNarrow"/>
                <w:sz w:val="22"/>
                <w:szCs w:val="22"/>
              </w:rPr>
            </w:pPr>
            <w:r w:rsidRPr="00C55C4D">
              <w:rPr>
                <w:rFonts w:asciiTheme="minorHAnsi" w:hAnsiTheme="minorHAnsi" w:cs="ArialNarrow"/>
                <w:sz w:val="22"/>
                <w:szCs w:val="22"/>
              </w:rPr>
              <w:t xml:space="preserve">Liczba nowo utworzonych miejsc pracy - pozostałe formy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3C55C7" w:rsidRPr="00C55C4D" w:rsidRDefault="003C55C7" w:rsidP="003F1889">
            <w:pPr>
              <w:spacing w:before="0" w:line="240" w:lineRule="auto"/>
              <w:jc w:val="center"/>
              <w:rPr>
                <w:rFonts w:asciiTheme="minorHAnsi" w:hAnsiTheme="minorHAnsi" w:cs="ArialNarrow"/>
                <w:szCs w:val="22"/>
              </w:rPr>
            </w:pPr>
            <w:r w:rsidRPr="00C55C4D">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3C55C7" w:rsidRPr="00C55C4D" w:rsidRDefault="00471B0C" w:rsidP="00EE4C8C">
            <w:pPr>
              <w:autoSpaceDE w:val="0"/>
              <w:autoSpaceDN w:val="0"/>
              <w:adjustRightInd w:val="0"/>
              <w:spacing w:before="0" w:line="240" w:lineRule="auto"/>
              <w:rPr>
                <w:rFonts w:asciiTheme="minorHAnsi" w:eastAsiaTheme="minorHAnsi" w:hAnsiTheme="minorHAnsi" w:cs="Verdana"/>
                <w:szCs w:val="22"/>
                <w:lang w:eastAsia="en-US"/>
              </w:rPr>
            </w:pPr>
            <w:r w:rsidRPr="00C55C4D">
              <w:rPr>
                <w:rFonts w:asciiTheme="minorHAnsi" w:eastAsiaTheme="minorHAnsi" w:hAnsiTheme="minorHAnsi" w:cstheme="minorBidi"/>
                <w:iCs/>
                <w:szCs w:val="22"/>
                <w:lang w:eastAsia="en-US"/>
              </w:rPr>
              <w:t>Pozostałe formy</w:t>
            </w:r>
            <w:r w:rsidRPr="00C55C4D">
              <w:rPr>
                <w:rFonts w:asciiTheme="minorHAnsi" w:eastAsiaTheme="minorHAnsi" w:hAnsiTheme="minorHAnsi" w:cs="Verdana"/>
                <w:szCs w:val="22"/>
                <w:lang w:eastAsia="en-US"/>
              </w:rPr>
              <w:t xml:space="preserve">, np. umowy cywilnoprawne, miejsca pracy do obsługi projektu, nietrwałe miejsca pracy </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3C55C7" w:rsidRPr="00C55C4D" w:rsidRDefault="003C55C7" w:rsidP="003F1889">
            <w:pPr>
              <w:spacing w:line="240" w:lineRule="auto"/>
              <w:jc w:val="center"/>
              <w:rPr>
                <w:rFonts w:asciiTheme="minorHAnsi" w:hAnsiTheme="minorHAnsi"/>
                <w:szCs w:val="22"/>
              </w:rPr>
            </w:pPr>
            <w:r w:rsidRPr="00C55C4D">
              <w:rPr>
                <w:rFonts w:asciiTheme="minorHAnsi" w:hAnsiTheme="minorHAnsi"/>
                <w:szCs w:val="22"/>
              </w:rPr>
              <w:t>horyzontalny</w:t>
            </w:r>
          </w:p>
        </w:tc>
      </w:tr>
    </w:tbl>
    <w:p w:rsidR="006033E8" w:rsidRPr="00C55C4D" w:rsidRDefault="006033E8" w:rsidP="006033E8">
      <w:pPr>
        <w:spacing w:before="0" w:after="200" w:line="276" w:lineRule="auto"/>
        <w:rPr>
          <w:rFonts w:asciiTheme="minorHAnsi" w:hAnsiTheme="minorHAnsi"/>
          <w:szCs w:val="22"/>
        </w:rPr>
      </w:pPr>
    </w:p>
    <w:p w:rsidR="00944996" w:rsidRPr="00C55C4D"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W ramach wniosku o dofinansowanie Wnioskodawca ma obowiązek uwzględnić </w:t>
      </w:r>
      <w:r w:rsidRPr="00C55C4D">
        <w:rPr>
          <w:rFonts w:asciiTheme="minorHAnsi" w:eastAsiaTheme="minorHAnsi" w:hAnsiTheme="minorHAnsi" w:cs="Arial"/>
          <w:b/>
          <w:szCs w:val="22"/>
          <w:lang w:eastAsia="en-US"/>
        </w:rPr>
        <w:t>wszystkie adekwatne</w:t>
      </w:r>
      <w:r w:rsidRPr="00C55C4D">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C55C4D">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C55C4D" w:rsidRDefault="00944996" w:rsidP="00944996">
      <w:pPr>
        <w:pStyle w:val="Default"/>
        <w:jc w:val="both"/>
        <w:rPr>
          <w:rFonts w:asciiTheme="minorHAnsi" w:eastAsiaTheme="minorHAnsi" w:hAnsiTheme="minorHAnsi" w:cstheme="minorBidi"/>
          <w:sz w:val="22"/>
          <w:szCs w:val="22"/>
          <w:lang w:eastAsia="en-US"/>
        </w:rPr>
      </w:pPr>
      <w:r w:rsidRPr="00C55C4D">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O ile w umowie o dofinansowanie projektu nie wskazano inaczej, efekt wsparcia na poziomie projektu występuje: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b) w przypadku wskaźników rezultatu określonych na poziomie projektu: </w:t>
      </w:r>
    </w:p>
    <w:p w:rsidR="00944996" w:rsidRPr="00C55C4D" w:rsidRDefault="00944996" w:rsidP="00944996">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C55C4D">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944996" w:rsidRPr="00C55C4D" w:rsidRDefault="00944996" w:rsidP="00944996">
      <w:pPr>
        <w:spacing w:line="240" w:lineRule="auto"/>
        <w:rPr>
          <w:szCs w:val="22"/>
        </w:rPr>
      </w:pPr>
    </w:p>
    <w:p w:rsidR="0032765F" w:rsidRPr="00C55C4D" w:rsidRDefault="0032765F" w:rsidP="007650AC">
      <w:pPr>
        <w:spacing w:line="240" w:lineRule="auto"/>
        <w:rPr>
          <w:szCs w:val="22"/>
        </w:rPr>
      </w:pPr>
    </w:p>
    <w:sectPr w:rsidR="0032765F" w:rsidRPr="00C55C4D" w:rsidSect="00852665">
      <w:headerReference w:type="default" r:id="rId8"/>
      <w:footerReference w:type="default" r:id="rId9"/>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D10" w:rsidRDefault="002D6D10" w:rsidP="008C495E">
      <w:pPr>
        <w:spacing w:before="0" w:line="240" w:lineRule="auto"/>
      </w:pPr>
      <w:r>
        <w:separator/>
      </w:r>
    </w:p>
  </w:endnote>
  <w:endnote w:type="continuationSeparator" w:id="0">
    <w:p w:rsidR="002D6D10" w:rsidRDefault="002D6D10"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C40C55">
              <w:rPr>
                <w:rFonts w:asciiTheme="minorHAnsi" w:hAnsiTheme="minorHAnsi"/>
                <w:b/>
                <w:bCs/>
                <w:noProof/>
                <w:sz w:val="20"/>
              </w:rPr>
              <w:t>3</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C40C55">
              <w:rPr>
                <w:rFonts w:asciiTheme="minorHAnsi" w:hAnsiTheme="minorHAnsi"/>
                <w:b/>
                <w:bCs/>
                <w:noProof/>
                <w:sz w:val="20"/>
              </w:rPr>
              <w:t>16</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D10" w:rsidRDefault="002D6D10" w:rsidP="008C495E">
      <w:pPr>
        <w:spacing w:before="0" w:line="240" w:lineRule="auto"/>
      </w:pPr>
      <w:r>
        <w:separator/>
      </w:r>
    </w:p>
  </w:footnote>
  <w:footnote w:type="continuationSeparator" w:id="0">
    <w:p w:rsidR="002D6D10" w:rsidRDefault="002D6D10"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8F" w:rsidRPr="00C0278F" w:rsidRDefault="00C0278F"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332CDB" w:rsidRPr="00C55C4D" w:rsidRDefault="00332CDB"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w:t>
    </w:r>
    <w:r w:rsidR="007127DD" w:rsidRPr="00C55C4D">
      <w:rPr>
        <w:rFonts w:ascii="Calibri" w:hAnsi="Calibri" w:cs="Arial"/>
        <w:sz w:val="20"/>
      </w:rPr>
      <w:t>RPDS.01.0</w:t>
    </w:r>
    <w:r w:rsidR="00C377D3" w:rsidRPr="00C55C4D">
      <w:rPr>
        <w:rFonts w:ascii="Calibri" w:hAnsi="Calibri" w:cs="Arial"/>
        <w:sz w:val="20"/>
      </w:rPr>
      <w:t>2</w:t>
    </w:r>
    <w:r w:rsidR="007127DD" w:rsidRPr="00C55C4D">
      <w:rPr>
        <w:rFonts w:ascii="Calibri" w:hAnsi="Calibri" w:cs="Arial"/>
        <w:sz w:val="20"/>
      </w:rPr>
      <w:t>.01-IP.01-02-179</w:t>
    </w:r>
    <w:r w:rsidRPr="00C55C4D">
      <w:rPr>
        <w:rFonts w:ascii="Calibri" w:hAnsi="Calibri" w:cs="Arial"/>
        <w:sz w:val="20"/>
      </w:rPr>
      <w:t>/16</w:t>
    </w:r>
  </w:p>
  <w:p w:rsidR="00151BAD" w:rsidRPr="00C55C4D" w:rsidRDefault="00151BAD" w:rsidP="00151BAD">
    <w:pPr>
      <w:spacing w:before="0" w:line="240" w:lineRule="auto"/>
      <w:jc w:val="right"/>
      <w:rPr>
        <w:rFonts w:asciiTheme="minorHAnsi" w:hAnsiTheme="minorHAnsi"/>
        <w:sz w:val="20"/>
      </w:rPr>
    </w:pPr>
    <w:r w:rsidRPr="00C55C4D">
      <w:rPr>
        <w:rFonts w:asciiTheme="minorHAnsi" w:hAnsiTheme="minorHAnsi"/>
        <w:sz w:val="20"/>
      </w:rPr>
      <w:t xml:space="preserve">Nr naboru </w:t>
    </w:r>
    <w:r w:rsidR="00332CDB" w:rsidRPr="00C55C4D">
      <w:rPr>
        <w:rFonts w:ascii="Calibri" w:hAnsi="Calibri" w:cs="Arial"/>
        <w:sz w:val="20"/>
      </w:rPr>
      <w:t>RPDS.01.0</w:t>
    </w:r>
    <w:r w:rsidR="007807DB" w:rsidRPr="00C55C4D">
      <w:rPr>
        <w:rFonts w:ascii="Calibri" w:hAnsi="Calibri" w:cs="Arial"/>
        <w:sz w:val="20"/>
      </w:rPr>
      <w:t>2</w:t>
    </w:r>
    <w:r w:rsidR="00332CDB" w:rsidRPr="00C55C4D">
      <w:rPr>
        <w:rFonts w:ascii="Calibri" w:hAnsi="Calibri" w:cs="Arial"/>
        <w:sz w:val="20"/>
      </w:rPr>
      <w:t>.02-IP.01-02-1</w:t>
    </w:r>
    <w:r w:rsidR="008F1A47" w:rsidRPr="00C55C4D">
      <w:rPr>
        <w:rFonts w:ascii="Calibri" w:hAnsi="Calibri" w:cs="Arial"/>
        <w:sz w:val="20"/>
      </w:rPr>
      <w:t>8</w:t>
    </w:r>
    <w:r w:rsidR="007127DD" w:rsidRPr="00C55C4D">
      <w:rPr>
        <w:rFonts w:ascii="Calibri" w:hAnsi="Calibri" w:cs="Arial"/>
        <w:sz w:val="20"/>
      </w:rPr>
      <w:t>0</w:t>
    </w:r>
    <w:r w:rsidR="00332CDB" w:rsidRPr="00C55C4D">
      <w:rPr>
        <w:rFonts w:ascii="Calibri" w:hAnsi="Calibri" w:cs="Arial"/>
        <w:sz w:val="20"/>
      </w:rPr>
      <w:t>/16</w:t>
    </w:r>
  </w:p>
  <w:p w:rsidR="00C0278F" w:rsidRDefault="00C0278F"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5E"/>
    <w:rsid w:val="00007F32"/>
    <w:rsid w:val="000434B4"/>
    <w:rsid w:val="00094C3F"/>
    <w:rsid w:val="00095C84"/>
    <w:rsid w:val="000B6963"/>
    <w:rsid w:val="000C57E0"/>
    <w:rsid w:val="000E1C5E"/>
    <w:rsid w:val="000F5C98"/>
    <w:rsid w:val="00114550"/>
    <w:rsid w:val="0011515E"/>
    <w:rsid w:val="00133659"/>
    <w:rsid w:val="00141571"/>
    <w:rsid w:val="00151BAD"/>
    <w:rsid w:val="0015486C"/>
    <w:rsid w:val="0017262A"/>
    <w:rsid w:val="00191605"/>
    <w:rsid w:val="001B7345"/>
    <w:rsid w:val="001C4F9E"/>
    <w:rsid w:val="00253FAA"/>
    <w:rsid w:val="002972E4"/>
    <w:rsid w:val="002A1BDB"/>
    <w:rsid w:val="002A20B7"/>
    <w:rsid w:val="002B6673"/>
    <w:rsid w:val="002C1258"/>
    <w:rsid w:val="002C1BFC"/>
    <w:rsid w:val="002C4E15"/>
    <w:rsid w:val="002D5507"/>
    <w:rsid w:val="002D6D10"/>
    <w:rsid w:val="002E6E1E"/>
    <w:rsid w:val="002F6273"/>
    <w:rsid w:val="0032765F"/>
    <w:rsid w:val="0033077A"/>
    <w:rsid w:val="00331F09"/>
    <w:rsid w:val="00332CDB"/>
    <w:rsid w:val="00340A6B"/>
    <w:rsid w:val="00356F23"/>
    <w:rsid w:val="00364299"/>
    <w:rsid w:val="00370466"/>
    <w:rsid w:val="003C55C7"/>
    <w:rsid w:val="003D2C3D"/>
    <w:rsid w:val="003D3BC5"/>
    <w:rsid w:val="003E7930"/>
    <w:rsid w:val="003F1889"/>
    <w:rsid w:val="003F445C"/>
    <w:rsid w:val="0041446A"/>
    <w:rsid w:val="00421C29"/>
    <w:rsid w:val="00433A72"/>
    <w:rsid w:val="00453293"/>
    <w:rsid w:val="0046263E"/>
    <w:rsid w:val="00471B0C"/>
    <w:rsid w:val="00476947"/>
    <w:rsid w:val="004B303A"/>
    <w:rsid w:val="004F6746"/>
    <w:rsid w:val="005038EA"/>
    <w:rsid w:val="00516B06"/>
    <w:rsid w:val="00522930"/>
    <w:rsid w:val="0052529C"/>
    <w:rsid w:val="00535E8F"/>
    <w:rsid w:val="00555321"/>
    <w:rsid w:val="005657D8"/>
    <w:rsid w:val="005E0C60"/>
    <w:rsid w:val="005E16D7"/>
    <w:rsid w:val="005F02A1"/>
    <w:rsid w:val="005F0E5F"/>
    <w:rsid w:val="0060140B"/>
    <w:rsid w:val="006033E8"/>
    <w:rsid w:val="00620A45"/>
    <w:rsid w:val="00635DB0"/>
    <w:rsid w:val="006A09F0"/>
    <w:rsid w:val="006C29E2"/>
    <w:rsid w:val="006C652C"/>
    <w:rsid w:val="006E2656"/>
    <w:rsid w:val="00701E65"/>
    <w:rsid w:val="00704B1F"/>
    <w:rsid w:val="007127DD"/>
    <w:rsid w:val="0072791E"/>
    <w:rsid w:val="007300ED"/>
    <w:rsid w:val="00741B27"/>
    <w:rsid w:val="007447A2"/>
    <w:rsid w:val="0075310C"/>
    <w:rsid w:val="00762973"/>
    <w:rsid w:val="007650AC"/>
    <w:rsid w:val="007704B3"/>
    <w:rsid w:val="00771632"/>
    <w:rsid w:val="007807DB"/>
    <w:rsid w:val="00787387"/>
    <w:rsid w:val="00795831"/>
    <w:rsid w:val="007D1CF1"/>
    <w:rsid w:val="007D7DE7"/>
    <w:rsid w:val="007E025A"/>
    <w:rsid w:val="007E6D53"/>
    <w:rsid w:val="007E73B8"/>
    <w:rsid w:val="00823B2B"/>
    <w:rsid w:val="00852665"/>
    <w:rsid w:val="00855888"/>
    <w:rsid w:val="0086698D"/>
    <w:rsid w:val="00871F22"/>
    <w:rsid w:val="00883644"/>
    <w:rsid w:val="008A09D1"/>
    <w:rsid w:val="008A195C"/>
    <w:rsid w:val="008A5B45"/>
    <w:rsid w:val="008B21E1"/>
    <w:rsid w:val="008B73B1"/>
    <w:rsid w:val="008C1026"/>
    <w:rsid w:val="008C495E"/>
    <w:rsid w:val="008E3F0D"/>
    <w:rsid w:val="008F1A47"/>
    <w:rsid w:val="009024D3"/>
    <w:rsid w:val="00903BE8"/>
    <w:rsid w:val="00911273"/>
    <w:rsid w:val="00944996"/>
    <w:rsid w:val="009456DB"/>
    <w:rsid w:val="00957784"/>
    <w:rsid w:val="009D04DE"/>
    <w:rsid w:val="009D3C56"/>
    <w:rsid w:val="009E65D0"/>
    <w:rsid w:val="00A214C1"/>
    <w:rsid w:val="00A32D10"/>
    <w:rsid w:val="00A665D9"/>
    <w:rsid w:val="00A75FD2"/>
    <w:rsid w:val="00A84F1F"/>
    <w:rsid w:val="00AD2437"/>
    <w:rsid w:val="00B204DD"/>
    <w:rsid w:val="00B2308A"/>
    <w:rsid w:val="00B235B0"/>
    <w:rsid w:val="00B65B2E"/>
    <w:rsid w:val="00B722E4"/>
    <w:rsid w:val="00B80838"/>
    <w:rsid w:val="00B83A65"/>
    <w:rsid w:val="00B840A9"/>
    <w:rsid w:val="00B87C4A"/>
    <w:rsid w:val="00BC0189"/>
    <w:rsid w:val="00BC03CE"/>
    <w:rsid w:val="00BD2B11"/>
    <w:rsid w:val="00BF3553"/>
    <w:rsid w:val="00C0278F"/>
    <w:rsid w:val="00C02E80"/>
    <w:rsid w:val="00C063C7"/>
    <w:rsid w:val="00C10532"/>
    <w:rsid w:val="00C14D4B"/>
    <w:rsid w:val="00C31711"/>
    <w:rsid w:val="00C377D3"/>
    <w:rsid w:val="00C40265"/>
    <w:rsid w:val="00C40C55"/>
    <w:rsid w:val="00C40E8D"/>
    <w:rsid w:val="00C55C4D"/>
    <w:rsid w:val="00C621AD"/>
    <w:rsid w:val="00C8517F"/>
    <w:rsid w:val="00C8536E"/>
    <w:rsid w:val="00C90F5E"/>
    <w:rsid w:val="00CB01E2"/>
    <w:rsid w:val="00CB2B67"/>
    <w:rsid w:val="00CC7758"/>
    <w:rsid w:val="00CE73BE"/>
    <w:rsid w:val="00CF1BEA"/>
    <w:rsid w:val="00CF69D1"/>
    <w:rsid w:val="00CF79AF"/>
    <w:rsid w:val="00D03CAB"/>
    <w:rsid w:val="00D11CB4"/>
    <w:rsid w:val="00D11E26"/>
    <w:rsid w:val="00D20133"/>
    <w:rsid w:val="00D23755"/>
    <w:rsid w:val="00D4113B"/>
    <w:rsid w:val="00D5098A"/>
    <w:rsid w:val="00D50C00"/>
    <w:rsid w:val="00D569AA"/>
    <w:rsid w:val="00D67100"/>
    <w:rsid w:val="00D721EE"/>
    <w:rsid w:val="00D93881"/>
    <w:rsid w:val="00DC686F"/>
    <w:rsid w:val="00DF2FA3"/>
    <w:rsid w:val="00DF6D97"/>
    <w:rsid w:val="00DF7EE2"/>
    <w:rsid w:val="00E232BB"/>
    <w:rsid w:val="00E27D1D"/>
    <w:rsid w:val="00E32B6F"/>
    <w:rsid w:val="00E33C26"/>
    <w:rsid w:val="00E41403"/>
    <w:rsid w:val="00E428FC"/>
    <w:rsid w:val="00E47419"/>
    <w:rsid w:val="00E50219"/>
    <w:rsid w:val="00E61834"/>
    <w:rsid w:val="00E72468"/>
    <w:rsid w:val="00E90CA0"/>
    <w:rsid w:val="00E93BEA"/>
    <w:rsid w:val="00EA68D3"/>
    <w:rsid w:val="00ED29D0"/>
    <w:rsid w:val="00EE4C8C"/>
    <w:rsid w:val="00F02218"/>
    <w:rsid w:val="00F11106"/>
    <w:rsid w:val="00F449AA"/>
    <w:rsid w:val="00F60155"/>
    <w:rsid w:val="00F61B14"/>
    <w:rsid w:val="00F8106E"/>
    <w:rsid w:val="00F9504B"/>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C4A31-C678-4486-9015-94DC232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674D-6BAD-4BBB-9665-F1EEBECC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3811</Words>
  <Characters>22872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Gęsiak-Kaniuka</dc:creator>
  <cp:keywords/>
  <dc:description/>
  <cp:lastModifiedBy>Barbara Radziwiłł-Wróbel</cp:lastModifiedBy>
  <cp:revision>5</cp:revision>
  <cp:lastPrinted>2016-08-08T06:22:00Z</cp:lastPrinted>
  <dcterms:created xsi:type="dcterms:W3CDTF">2016-11-17T10:32:00Z</dcterms:created>
  <dcterms:modified xsi:type="dcterms:W3CDTF">2016-11-21T11:01:00Z</dcterms:modified>
</cp:coreProperties>
</file>