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76B" w:rsidRPr="00DD0783" w:rsidRDefault="00BA376B" w:rsidP="00C10F6C">
      <w:pPr>
        <w:spacing w:line="240" w:lineRule="auto"/>
        <w:jc w:val="both"/>
      </w:pPr>
    </w:p>
    <w:p w:rsidR="00B71741" w:rsidRPr="00DD0783" w:rsidRDefault="00B71741" w:rsidP="00FC6DB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cs="Arial"/>
          <w:color w:val="000000" w:themeColor="text1"/>
          <w:sz w:val="20"/>
          <w:szCs w:val="20"/>
          <w:lang w:eastAsia="en-US"/>
        </w:rPr>
      </w:pPr>
      <w:r w:rsidRPr="00DD0783">
        <w:rPr>
          <w:rFonts w:cs="Arial"/>
          <w:sz w:val="20"/>
          <w:szCs w:val="20"/>
          <w:lang w:eastAsia="en-US"/>
        </w:rPr>
        <w:t xml:space="preserve">Załącznik nr </w:t>
      </w:r>
      <w:r w:rsidR="00FC6DBC">
        <w:rPr>
          <w:rFonts w:cs="Arial"/>
          <w:sz w:val="20"/>
          <w:szCs w:val="20"/>
          <w:lang w:eastAsia="en-US"/>
        </w:rPr>
        <w:t>…. do wzoru umowy o dofinansowanie realizacji projektu</w:t>
      </w:r>
      <w:r w:rsidRPr="00DD0783">
        <w:rPr>
          <w:rFonts w:cs="Arial"/>
          <w:sz w:val="20"/>
          <w:szCs w:val="20"/>
          <w:lang w:eastAsia="en-US"/>
        </w:rPr>
        <w:t xml:space="preserve"> </w:t>
      </w:r>
    </w:p>
    <w:p w:rsidR="00B71741" w:rsidRPr="009F303C" w:rsidRDefault="00B71741" w:rsidP="00B71741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:rsidR="00BA376B" w:rsidRPr="00DD0783" w:rsidRDefault="00BA376B" w:rsidP="00C10F6C">
      <w:pPr>
        <w:spacing w:after="0" w:line="240" w:lineRule="auto"/>
        <w:ind w:left="5103"/>
        <w:jc w:val="both"/>
      </w:pPr>
    </w:p>
    <w:p w:rsidR="00BA376B" w:rsidRPr="00DD0783" w:rsidRDefault="00BA376B" w:rsidP="00C10F6C">
      <w:pPr>
        <w:spacing w:line="240" w:lineRule="auto"/>
        <w:jc w:val="both"/>
      </w:pPr>
      <w:bookmarkStart w:id="0" w:name="_GoBack"/>
      <w:bookmarkEnd w:id="0"/>
    </w:p>
    <w:p w:rsidR="00BA376B" w:rsidRPr="00DD0783" w:rsidRDefault="00BA376B" w:rsidP="00C10F6C">
      <w:pPr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:rsidR="00BA376B" w:rsidRPr="00DD0783" w:rsidRDefault="001864C1" w:rsidP="00013AFB">
      <w:pPr>
        <w:pStyle w:val="Akapitzlist"/>
        <w:numPr>
          <w:ilvl w:val="0"/>
          <w:numId w:val="47"/>
        </w:numPr>
        <w:tabs>
          <w:tab w:val="left" w:pos="5330"/>
        </w:tabs>
        <w:spacing w:line="240" w:lineRule="auto"/>
        <w:ind w:left="567"/>
        <w:jc w:val="both"/>
        <w:rPr>
          <w:b/>
        </w:rPr>
      </w:pPr>
      <w:r w:rsidRPr="00DD0783">
        <w:rPr>
          <w:b/>
        </w:rPr>
        <w:lastRenderedPageBreak/>
        <w:t>Wykaz skrótów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1) 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DD0783">
        <w:rPr>
          <w:rFonts w:asciiTheme="minorHAnsi" w:hAnsiTheme="minorHAnsi"/>
          <w:sz w:val="22"/>
          <w:szCs w:val="22"/>
        </w:rPr>
        <w:t>– Europejski Fundusz Rozwoju Regionalnego;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2) 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MR </w:t>
      </w:r>
      <w:r w:rsidRPr="00DD0783">
        <w:rPr>
          <w:rFonts w:asciiTheme="minorHAnsi" w:hAnsiTheme="minorHAnsi"/>
          <w:sz w:val="22"/>
          <w:szCs w:val="22"/>
        </w:rPr>
        <w:t>– Ministerstwo Rozwoj</w:t>
      </w:r>
      <w:r w:rsidR="00870C75" w:rsidRPr="00DD0783">
        <w:rPr>
          <w:rFonts w:asciiTheme="minorHAnsi" w:hAnsiTheme="minorHAnsi"/>
          <w:sz w:val="22"/>
          <w:szCs w:val="22"/>
        </w:rPr>
        <w:t xml:space="preserve">u </w:t>
      </w:r>
    </w:p>
    <w:p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>IZ</w:t>
      </w:r>
      <w:proofErr w:type="gramEnd"/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</w:t>
      </w:r>
      <w:proofErr w:type="gramEnd"/>
      <w:r w:rsidR="005100D3" w:rsidRPr="00DD0783">
        <w:rPr>
          <w:rFonts w:asciiTheme="minorHAnsi" w:hAnsiTheme="minorHAnsi"/>
          <w:b/>
          <w:sz w:val="22"/>
          <w:szCs w:val="22"/>
        </w:rPr>
        <w:t xml:space="preserve">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:rsidR="000C3A67" w:rsidRPr="00DD0783" w:rsidRDefault="000C3A67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Cel</w:t>
      </w:r>
      <w:r w:rsidR="002800FC" w:rsidRPr="00DD0783">
        <w:rPr>
          <w:rFonts w:asciiTheme="minorHAnsi" w:hAnsiTheme="minorHAnsi"/>
          <w:b/>
          <w:bCs/>
          <w:sz w:val="22"/>
          <w:szCs w:val="22"/>
        </w:rPr>
        <w:t xml:space="preserve"> i</w:t>
      </w:r>
      <w:r w:rsidRPr="00DD0783">
        <w:rPr>
          <w:rFonts w:asciiTheme="minorHAnsi" w:hAnsiTheme="minorHAnsi"/>
          <w:b/>
          <w:bCs/>
          <w:sz w:val="22"/>
          <w:szCs w:val="22"/>
        </w:rPr>
        <w:t xml:space="preserve"> zakres regulacji</w:t>
      </w:r>
      <w:r w:rsidR="009178E4" w:rsidRPr="00DD0783">
        <w:rPr>
          <w:rFonts w:asciiTheme="minorHAnsi" w:hAnsiTheme="minorHAnsi"/>
          <w:b/>
          <w:bCs/>
          <w:sz w:val="22"/>
          <w:szCs w:val="22"/>
        </w:rPr>
        <w:t xml:space="preserve"> oraz obowiązywania </w:t>
      </w:r>
      <w:r w:rsidR="009241EE" w:rsidRPr="00DD0783">
        <w:rPr>
          <w:rFonts w:asciiTheme="minorHAnsi" w:hAnsiTheme="minorHAnsi"/>
          <w:b/>
          <w:bCs/>
          <w:sz w:val="22"/>
          <w:szCs w:val="22"/>
        </w:rPr>
        <w:t>zasad</w:t>
      </w:r>
      <w:r w:rsidR="009241EE" w:rsidRPr="00DD0783">
        <w:rPr>
          <w:rFonts w:asciiTheme="minorHAnsi" w:hAnsiTheme="minorHAnsi"/>
          <w:b/>
          <w:bCs/>
          <w:i/>
          <w:sz w:val="22"/>
          <w:szCs w:val="22"/>
        </w:rPr>
        <w:t xml:space="preserve"> </w:t>
      </w:r>
    </w:p>
    <w:p w:rsidR="009F7CF2" w:rsidRPr="00DD0783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DD0783">
        <w:rPr>
          <w:rFonts w:cs="Arial"/>
          <w:color w:val="000000"/>
        </w:rPr>
        <w:t>Warunki, o których mowa w niniejszych zasadach, są zgodne w szczególności z:</w:t>
      </w: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DD0783">
        <w:t>a</w:t>
      </w:r>
      <w:proofErr w:type="gramEnd"/>
      <w:r w:rsidRPr="00DD0783">
        <w:t xml:space="preserve">) przepisami Rozdziału III </w:t>
      </w:r>
      <w:r w:rsidRPr="00DD0783">
        <w:rPr>
          <w:i/>
          <w:iCs/>
        </w:rPr>
        <w:t xml:space="preserve">Kwalifikowalność wydatków i trwałość </w:t>
      </w:r>
      <w:r w:rsidRPr="00DD0783">
        <w:t xml:space="preserve">w Tytule VII </w:t>
      </w:r>
      <w:r w:rsidRPr="00DD0783">
        <w:rPr>
          <w:i/>
          <w:iCs/>
        </w:rPr>
        <w:t xml:space="preserve">Wsparcie finansowe z EFSI </w:t>
      </w:r>
      <w:r w:rsidRPr="00DD0783">
        <w:t xml:space="preserve"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</w:t>
      </w:r>
      <w:proofErr w:type="gramStart"/>
      <w:r w:rsidRPr="00DD0783">
        <w:t>str</w:t>
      </w:r>
      <w:proofErr w:type="gramEnd"/>
      <w:r w:rsidRPr="00DD0783">
        <w:t xml:space="preserve">. 320, z </w:t>
      </w:r>
      <w:proofErr w:type="spellStart"/>
      <w:r w:rsidRPr="00DD0783">
        <w:t>późn</w:t>
      </w:r>
      <w:proofErr w:type="spellEnd"/>
      <w:r w:rsidRPr="00DD0783">
        <w:t xml:space="preserve">. </w:t>
      </w:r>
      <w:proofErr w:type="gramStart"/>
      <w:r w:rsidRPr="00DD0783">
        <w:t>zm</w:t>
      </w:r>
      <w:proofErr w:type="gramEnd"/>
      <w:r w:rsidRPr="00DD0783">
        <w:t xml:space="preserve">.), [„rozporządzeniem ogólnym”], </w:t>
      </w:r>
    </w:p>
    <w:p w:rsidR="000906B8" w:rsidRPr="00DD0783" w:rsidRDefault="000906B8" w:rsidP="000906B8">
      <w:pPr>
        <w:tabs>
          <w:tab w:val="left" w:pos="5330"/>
        </w:tabs>
        <w:spacing w:line="240" w:lineRule="auto"/>
        <w:jc w:val="both"/>
      </w:pPr>
      <w:proofErr w:type="gramStart"/>
      <w:r w:rsidRPr="00DD0783">
        <w:t>b</w:t>
      </w:r>
      <w:proofErr w:type="gramEnd"/>
      <w:r w:rsidRPr="00DD0783">
        <w:t>) rozporządzeniem Parlamentu Europejskiego i Rady (UE) nr 1301/2013 z dnia 17 grudnia 2013 r. w sprawie Europejskiego Funduszu Rozwoju Regionalnego</w:t>
      </w:r>
      <w:r w:rsidRPr="00DD0783">
        <w:rPr>
          <w:rFonts w:cs="Arial"/>
          <w:color w:val="000000"/>
        </w:rPr>
        <w:t xml:space="preserve"> </w:t>
      </w:r>
      <w:r w:rsidRPr="00DD0783">
        <w:t xml:space="preserve">i przepisów szczególnych dotyczących celu „Inwestycje na rzecz wzrostu i zatrudnienia” oraz w sprawie uchylenia rozporządzenia (WE) nr 1080/2006 (Dz. Urz. UE L 347 z 20.12.2013, </w:t>
      </w:r>
      <w:proofErr w:type="gramStart"/>
      <w:r w:rsidRPr="00DD0783">
        <w:t>str</w:t>
      </w:r>
      <w:proofErr w:type="gramEnd"/>
      <w:r w:rsidRPr="00DD0783">
        <w:t xml:space="preserve">. 289) [„rozporządzeniem EFRR”], 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c</w:t>
      </w:r>
      <w:proofErr w:type="gramEnd"/>
      <w:r w:rsidRPr="00DD0783">
        <w:rPr>
          <w:rFonts w:asciiTheme="minorHAnsi" w:hAnsiTheme="minorHAnsi"/>
          <w:sz w:val="22"/>
          <w:szCs w:val="22"/>
        </w:rPr>
        <w:t>) „</w:t>
      </w:r>
      <w:r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Pr="00DD0783">
        <w:rPr>
          <w:rFonts w:asciiTheme="minorHAnsi" w:hAnsiTheme="minorHAnsi"/>
          <w:sz w:val="22"/>
          <w:szCs w:val="22"/>
        </w:rPr>
        <w:t xml:space="preserve"> [dalej: „wytycznymi horyzontalnymi”].</w:t>
      </w:r>
    </w:p>
    <w:p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DD0783">
        <w:rPr>
          <w:b/>
        </w:rPr>
        <w:t xml:space="preserve">Podstawowym dokumentem w zakresie kwalifikowalności wydatków w RPO WD 2014-2020 są </w:t>
      </w:r>
      <w:r w:rsidR="002C5B11" w:rsidRPr="00DD0783">
        <w:rPr>
          <w:b/>
        </w:rPr>
        <w:t>wytyczne horyzontalne – „</w:t>
      </w:r>
      <w:r w:rsidRPr="00DD0783">
        <w:rPr>
          <w:b/>
          <w:i/>
        </w:rPr>
        <w:t>Wytyczne w zakresie kwalifikowalności wydatków w ramach Europejskiego Funduszu Rozwoju Regionalnego, Europejskiego Funduszu Społecznego oraz Funduszu Spójności na lata 2014-2020</w:t>
      </w:r>
      <w:r w:rsidR="002C5B11" w:rsidRPr="00DD0783">
        <w:rPr>
          <w:b/>
          <w:i/>
        </w:rPr>
        <w:t>”</w:t>
      </w:r>
      <w:r w:rsidRPr="00DD0783">
        <w:rPr>
          <w:b/>
        </w:rPr>
        <w:t xml:space="preserve"> wydane przez Ministra Rozwoju</w:t>
      </w:r>
      <w:r w:rsidR="003F6BB8" w:rsidRPr="00DD0783">
        <w:rPr>
          <w:b/>
        </w:rPr>
        <w:t xml:space="preserve"> i Finansów</w:t>
      </w:r>
      <w:r w:rsidRPr="00DD0783">
        <w:rPr>
          <w:b/>
        </w:rPr>
        <w:t>.</w:t>
      </w:r>
      <w:r w:rsidRPr="00DD0783">
        <w:t xml:space="preserve"> </w:t>
      </w:r>
      <w:r w:rsidRPr="00DD0783">
        <w:rPr>
          <w:b/>
        </w:rPr>
        <w:t xml:space="preserve">Oznacza to, że zapisy </w:t>
      </w:r>
      <w:r w:rsidR="002C5B11" w:rsidRPr="00DD0783">
        <w:rPr>
          <w:b/>
        </w:rPr>
        <w:t xml:space="preserve">ww. </w:t>
      </w:r>
      <w:r w:rsidRPr="00DD0783">
        <w:rPr>
          <w:b/>
        </w:rPr>
        <w:t xml:space="preserve">wytycznych horyzontalnych mają bezpośrednie zastosowanie we wdrażaniu RPO WD 2014-2020 (w części finansowanej z EFRR), z zastrzeżeniem zapisów niniejszych </w:t>
      </w:r>
      <w:r w:rsidR="009241EE" w:rsidRPr="00DD0783">
        <w:rPr>
          <w:b/>
        </w:rPr>
        <w:t xml:space="preserve">zasad </w:t>
      </w:r>
      <w:proofErr w:type="gramStart"/>
      <w:r w:rsidRPr="00DD0783">
        <w:rPr>
          <w:b/>
        </w:rPr>
        <w:t>któr</w:t>
      </w:r>
      <w:r w:rsidR="000906B8" w:rsidRPr="00DD0783">
        <w:rPr>
          <w:b/>
        </w:rPr>
        <w:t>e</w:t>
      </w:r>
      <w:r w:rsidR="003F6BB8" w:rsidRPr="00DD0783">
        <w:rPr>
          <w:b/>
        </w:rPr>
        <w:t xml:space="preserve"> </w:t>
      </w:r>
      <w:r w:rsidRPr="00DD0783">
        <w:rPr>
          <w:b/>
        </w:rPr>
        <w:t xml:space="preserve"> zawiera</w:t>
      </w:r>
      <w:r w:rsidR="000906B8" w:rsidRPr="00DD0783">
        <w:rPr>
          <w:b/>
        </w:rPr>
        <w:t>ją</w:t>
      </w:r>
      <w:proofErr w:type="gramEnd"/>
      <w:r w:rsidRPr="00DD0783">
        <w:rPr>
          <w:b/>
        </w:rPr>
        <w:t xml:space="preserve"> dodatkowe ograniczenia lub wskazuj</w:t>
      </w:r>
      <w:r w:rsidR="000906B8" w:rsidRPr="00DD0783">
        <w:rPr>
          <w:b/>
        </w:rPr>
        <w:t>ą</w:t>
      </w:r>
      <w:r w:rsidRPr="00DD0783">
        <w:rPr>
          <w:b/>
        </w:rPr>
        <w:t xml:space="preserve"> na </w:t>
      </w:r>
      <w:proofErr w:type="spellStart"/>
      <w:r w:rsidRPr="00DD0783">
        <w:rPr>
          <w:b/>
        </w:rPr>
        <w:t>niekwalifikowalność</w:t>
      </w:r>
      <w:proofErr w:type="spellEnd"/>
      <w:r w:rsidRPr="00DD0783">
        <w:rPr>
          <w:b/>
        </w:rPr>
        <w:t xml:space="preserve"> w zakresie poszczególnych kategorii wydatków wiążące dla Wnioskodawców i Beneficjentów RPO WD 2014-2020.</w:t>
      </w:r>
      <w:r w:rsidRPr="00DD0783">
        <w:t xml:space="preserve"> </w:t>
      </w:r>
    </w:p>
    <w:p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0F49C6" w:rsidRPr="00DD0783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2" w:name="_Hlk491428855"/>
      <w:r w:rsidRPr="00DD0783">
        <w:rPr>
          <w:rFonts w:asciiTheme="minorHAnsi" w:hAnsiTheme="minorHAnsi"/>
          <w:iCs/>
          <w:sz w:val="22"/>
          <w:szCs w:val="22"/>
        </w:rPr>
        <w:t>Zasady</w:t>
      </w:r>
      <w:bookmarkEnd w:id="2"/>
      <w:r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:rsidR="000F49C6" w:rsidRPr="00DD0783" w:rsidRDefault="009241EE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3" w:name="_Hlk492458836"/>
      <w:r w:rsidRPr="00DD0783">
        <w:rPr>
          <w:rFonts w:asciiTheme="minorHAnsi" w:hAnsiTheme="minorHAnsi"/>
          <w:iCs/>
          <w:sz w:val="22"/>
          <w:szCs w:val="22"/>
        </w:rPr>
        <w:t>Zasady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3"/>
    <w:p w:rsidR="00267983" w:rsidRPr="00DD0783" w:rsidRDefault="000D0C61" w:rsidP="00013AFB">
      <w:pPr>
        <w:pStyle w:val="Default"/>
        <w:numPr>
          <w:ilvl w:val="0"/>
          <w:numId w:val="4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:rsidR="00013AFB" w:rsidRPr="00DD0783" w:rsidRDefault="00267983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lastRenderedPageBreak/>
        <w:t>rozporządzenie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Komisji (UE) nr 651/2014 z dnia 17 czerwca 2014 r. uznające niektóre rodzaje pomocy za zgodne z rynkiem wewnętrznym w zastosowaniu art. 107 i 108 Traktatu (Dz. Urz. UE L 187/1 z 26.6.2014, </w:t>
      </w:r>
      <w:proofErr w:type="gramStart"/>
      <w:r w:rsidRPr="00DD0783">
        <w:rPr>
          <w:rFonts w:asciiTheme="minorHAnsi" w:hAnsiTheme="minorHAnsi"/>
          <w:sz w:val="22"/>
          <w:szCs w:val="22"/>
        </w:rPr>
        <w:t xml:space="preserve">str. 1), </w:t>
      </w:r>
      <w:r w:rsidR="00B21109" w:rsidRPr="00DD0783">
        <w:rPr>
          <w:rFonts w:asciiTheme="minorHAnsi" w:hAnsiTheme="minorHAnsi"/>
          <w:sz w:val="22"/>
          <w:szCs w:val="22"/>
        </w:rPr>
        <w:t xml:space="preserve">, </w:t>
      </w:r>
      <w:proofErr w:type="gramEnd"/>
      <w:r w:rsidR="00B21109" w:rsidRPr="00DD0783">
        <w:rPr>
          <w:rFonts w:asciiTheme="minorHAnsi" w:hAnsiTheme="minorHAnsi"/>
          <w:sz w:val="22"/>
          <w:szCs w:val="22"/>
        </w:rPr>
        <w:t xml:space="preserve">z </w:t>
      </w:r>
      <w:proofErr w:type="spellStart"/>
      <w:r w:rsidR="00B21109" w:rsidRPr="00DD0783">
        <w:rPr>
          <w:rFonts w:asciiTheme="minorHAnsi" w:hAnsiTheme="minorHAnsi"/>
          <w:sz w:val="22"/>
          <w:szCs w:val="22"/>
        </w:rPr>
        <w:t>późn</w:t>
      </w:r>
      <w:proofErr w:type="spellEnd"/>
      <w:r w:rsidR="00B21109" w:rsidRPr="00DD0783">
        <w:rPr>
          <w:rFonts w:asciiTheme="minorHAnsi" w:hAnsiTheme="minorHAnsi"/>
          <w:sz w:val="22"/>
          <w:szCs w:val="22"/>
        </w:rPr>
        <w:t xml:space="preserve">. </w:t>
      </w:r>
      <w:proofErr w:type="gramStart"/>
      <w:r w:rsidR="00B21109" w:rsidRPr="00DD0783">
        <w:rPr>
          <w:rFonts w:asciiTheme="minorHAnsi" w:hAnsiTheme="minorHAnsi"/>
          <w:sz w:val="22"/>
          <w:szCs w:val="22"/>
        </w:rPr>
        <w:t>zm</w:t>
      </w:r>
      <w:proofErr w:type="gramEnd"/>
      <w:r w:rsidR="00B21109" w:rsidRPr="00DD0783">
        <w:rPr>
          <w:rFonts w:asciiTheme="minorHAnsi" w:hAnsiTheme="minorHAnsi"/>
          <w:sz w:val="22"/>
          <w:szCs w:val="22"/>
        </w:rPr>
        <w:t>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1"/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:rsidR="00225518" w:rsidRPr="00DD0783" w:rsidRDefault="000246BF" w:rsidP="00013AFB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:rsidR="00267983" w:rsidRPr="00DD0783" w:rsidRDefault="00267983" w:rsidP="00C309B2">
      <w:pPr>
        <w:pStyle w:val="Default"/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rozporządzenie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</w:t>
      </w:r>
      <w:proofErr w:type="gramStart"/>
      <w:r w:rsidRPr="00DD0783">
        <w:rPr>
          <w:rFonts w:asciiTheme="minorHAnsi" w:hAnsiTheme="minorHAnsi"/>
          <w:sz w:val="22"/>
          <w:szCs w:val="22"/>
        </w:rPr>
        <w:t>str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. 1), </w:t>
      </w:r>
    </w:p>
    <w:p w:rsidR="00267983" w:rsidRPr="00DD0783" w:rsidRDefault="00267983" w:rsidP="00013AFB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proofErr w:type="gramStart"/>
      <w:r w:rsidRPr="00DD0783">
        <w:rPr>
          <w:rFonts w:asciiTheme="minorHAnsi" w:hAnsiTheme="minorHAnsi"/>
          <w:sz w:val="22"/>
          <w:szCs w:val="22"/>
        </w:rPr>
        <w:t>decyzję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 Komisji z 20 grudnia 2011 r. w sprawie stosowania art. 106 ust. 2 Traktatu o funkcjonowaniu Unii Europejskiej do pomocy państwa w formie rekompensaty z tytułu świadczenia usług publicznych, przyznanej przedsiębiorstwom zobowiązanym do wykonywania usług świadczonych w ogólnym interesie gospodarczym (Dz. Urz. UE L 7/3 z 11.1.2012, </w:t>
      </w:r>
      <w:proofErr w:type="gramStart"/>
      <w:r w:rsidRPr="00DD0783">
        <w:rPr>
          <w:rFonts w:asciiTheme="minorHAnsi" w:hAnsiTheme="minorHAnsi"/>
          <w:sz w:val="22"/>
          <w:szCs w:val="22"/>
        </w:rPr>
        <w:t>str</w:t>
      </w:r>
      <w:proofErr w:type="gramEnd"/>
      <w:r w:rsidRPr="00DD0783">
        <w:rPr>
          <w:rFonts w:asciiTheme="minorHAnsi" w:hAnsiTheme="minorHAnsi"/>
          <w:sz w:val="22"/>
          <w:szCs w:val="22"/>
        </w:rPr>
        <w:t xml:space="preserve">. 3). </w:t>
      </w:r>
    </w:p>
    <w:p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>niniejszych zasad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</w:t>
      </w:r>
      <w:proofErr w:type="gramStart"/>
      <w:r w:rsidR="003F0BE3" w:rsidRPr="00DD0783">
        <w:rPr>
          <w:rFonts w:asciiTheme="minorHAnsi" w:hAnsiTheme="minorHAnsi"/>
          <w:iCs/>
          <w:sz w:val="22"/>
          <w:szCs w:val="22"/>
        </w:rPr>
        <w:t>z  dnia</w:t>
      </w:r>
      <w:proofErr w:type="gram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3F0BE3" w:rsidRPr="00DD0783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</w:t>
      </w:r>
      <w:proofErr w:type="gramStart"/>
      <w:r w:rsidR="003F0BE3" w:rsidRPr="00DD0783">
        <w:rPr>
          <w:rFonts w:asciiTheme="minorHAnsi" w:hAnsiTheme="minorHAnsi"/>
          <w:iCs/>
          <w:sz w:val="22"/>
          <w:szCs w:val="22"/>
        </w:rPr>
        <w:t>s</w:t>
      </w:r>
      <w:proofErr w:type="gramEnd"/>
      <w:r w:rsidR="003F0BE3" w:rsidRPr="00DD0783">
        <w:rPr>
          <w:rFonts w:asciiTheme="minorHAnsi" w:hAnsiTheme="minorHAnsi"/>
          <w:iCs/>
          <w:sz w:val="22"/>
          <w:szCs w:val="22"/>
        </w:rPr>
        <w:t>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 xml:space="preserve">de </w:t>
      </w:r>
      <w:proofErr w:type="spellStart"/>
      <w:r w:rsidR="0086480A" w:rsidRPr="009F303C">
        <w:rPr>
          <w:rFonts w:asciiTheme="minorHAnsi" w:hAnsiTheme="minorHAnsi"/>
          <w:i/>
          <w:iCs/>
          <w:sz w:val="22"/>
          <w:szCs w:val="22"/>
        </w:rPr>
        <w:t>minimis</w:t>
      </w:r>
      <w:proofErr w:type="spellEnd"/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:rsidR="008F7051" w:rsidRPr="00DD0783" w:rsidRDefault="0048731C" w:rsidP="00013AFB">
      <w:pPr>
        <w:pStyle w:val="Default"/>
        <w:numPr>
          <w:ilvl w:val="0"/>
          <w:numId w:val="4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:rsidR="005E77EA" w:rsidRPr="00DD0783" w:rsidRDefault="00A23F33" w:rsidP="00013AFB">
      <w:pPr>
        <w:pStyle w:val="Default"/>
        <w:numPr>
          <w:ilvl w:val="0"/>
          <w:numId w:val="47"/>
        </w:numPr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:rsidR="00122E9E" w:rsidRPr="00DD0783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>Dla niektórych kategorii wydatków wskazano dodatkowo okres obowiązywania. Dotyczy to przypadków wprowadzenia danej kategorii wydatku, jej zmiany bądź usunięcia – w kolejnych wersjach dokumentu określającego kwalifikowalność wydatków w ramach RPO WD w zakresie EFRR, tj. w Załączniku nr 6 do SZOOP – „</w:t>
      </w:r>
      <w:r w:rsidRPr="00DD0783">
        <w:rPr>
          <w:b/>
          <w:i/>
        </w:rPr>
        <w:t>Zasadach kwalifikowalności wydatków w RPO WD 2014-2020”</w:t>
      </w:r>
      <w:r w:rsidRPr="00DD0783">
        <w:rPr>
          <w:b/>
        </w:rPr>
        <w:t xml:space="preserve">, przyjętym w dniu 14.09.2015 </w:t>
      </w:r>
      <w:proofErr w:type="gramStart"/>
      <w:r w:rsidRPr="00DD0783">
        <w:rPr>
          <w:b/>
        </w:rPr>
        <w:t>r</w:t>
      </w:r>
      <w:proofErr w:type="gramEnd"/>
      <w:r w:rsidRPr="00DD0783">
        <w:rPr>
          <w:b/>
        </w:rPr>
        <w:t>. a następnie w „</w:t>
      </w:r>
      <w:r w:rsidRPr="00DD0783">
        <w:rPr>
          <w:b/>
          <w:i/>
        </w:rPr>
        <w:t>Wytycznych programowych w zakresie kwalifikowalności wydatków finansowanych z Europejskiego Funduszu Rozwoju Regionalnego w ramach Regionalnego Programu Operacyjnego Województwa Dolnośląskiego 2014-2020”</w:t>
      </w:r>
      <w:r w:rsidRPr="00DD0783">
        <w:rPr>
          <w:b/>
        </w:rPr>
        <w:t xml:space="preserve"> (które zastąpiły Załącznik nr 6 do SZOOP),</w:t>
      </w:r>
      <w:r w:rsidRPr="00DD0783">
        <w:rPr>
          <w:b/>
          <w:i/>
        </w:rPr>
        <w:t xml:space="preserve"> </w:t>
      </w:r>
      <w:r w:rsidRPr="00DD0783">
        <w:rPr>
          <w:b/>
        </w:rPr>
        <w:t xml:space="preserve">obowiązujących od dnia 21.11.2016 </w:t>
      </w:r>
      <w:proofErr w:type="gramStart"/>
      <w:r w:rsidRPr="00DD0783">
        <w:rPr>
          <w:b/>
        </w:rPr>
        <w:t>r</w:t>
      </w:r>
      <w:proofErr w:type="gramEnd"/>
      <w:r w:rsidRPr="00DD0783">
        <w:rPr>
          <w:b/>
        </w:rPr>
        <w:t>. Wskazane w przypisach daty odnoszą się do momentu zatwierdzenia właściwej wersji ww. dokumentu – wprowadzającej, zmieniającej bądź znoszącej określone zapisy</w:t>
      </w:r>
      <w:r w:rsidRPr="00DD0783">
        <w:t>.</w:t>
      </w:r>
    </w:p>
    <w:p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</w:t>
      </w:r>
      <w:r w:rsidR="00A658F6" w:rsidRPr="00DD0783">
        <w:lastRenderedPageBreak/>
        <w:t>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:rsidR="00A23F33" w:rsidRPr="00DD0783" w:rsidRDefault="00474CDD" w:rsidP="003A2CB6">
      <w:pPr>
        <w:jc w:val="both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2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p w:rsidR="000D0455" w:rsidRPr="00DD0783" w:rsidRDefault="000D0455" w:rsidP="00A23F33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Reguła ta nie ma zastosowania w przypadku Działania 1.4 Internacjonalizacja przedsiębiorstw – projekty, których celem jest promocja, Działania 4.1 Gospodarka odpadami oraz Działania 5.2 System transportu kolejowego, zasady </w:t>
            </w:r>
            <w:proofErr w:type="gramStart"/>
            <w:r w:rsidRPr="00DD0783">
              <w:t>realizacji których</w:t>
            </w:r>
            <w:proofErr w:type="gramEnd"/>
            <w:r w:rsidRPr="00DD0783">
              <w:t xml:space="preserve"> zapisano bezpośrednio w RPO WD 2014-2020.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</w:t>
            </w:r>
            <w:proofErr w:type="gramStart"/>
            <w:r w:rsidRPr="00DD0783">
              <w:t>realizacji których</w:t>
            </w:r>
            <w:proofErr w:type="gramEnd"/>
            <w:r w:rsidRPr="00DD0783">
              <w:t xml:space="preserve"> zapisano bezpośrednio w RPO WD 2014 – 2020. </w:t>
            </w:r>
          </w:p>
          <w:p w:rsidR="00A23F33" w:rsidRPr="00DD0783" w:rsidRDefault="00A23F33" w:rsidP="00E27978">
            <w:pPr>
              <w:spacing w:before="120" w:after="120" w:line="240" w:lineRule="auto"/>
              <w:jc w:val="both"/>
            </w:pPr>
            <w:r w:rsidRPr="00DD0783">
              <w:t>W przypadku przedsiębiorców (rozumianych zgodnie z ustawą o</w:t>
            </w:r>
            <w:r w:rsidR="003B2988" w:rsidRPr="00DD0783">
              <w:t> </w:t>
            </w:r>
            <w:r w:rsidRPr="00DD0783">
              <w:t xml:space="preserve">swobodzie działalności gospodarczej), niekwalifikowalne są wydatki poniesione przez Wnioskodawców nie </w:t>
            </w:r>
            <w:proofErr w:type="gramStart"/>
            <w:r w:rsidRPr="00DD0783">
              <w:t>posiadających co</w:t>
            </w:r>
            <w:proofErr w:type="gramEnd"/>
            <w:r w:rsidRPr="00DD0783">
              <w:t xml:space="preserve">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przed</w:t>
            </w:r>
            <w:proofErr w:type="gramEnd"/>
            <w:r w:rsidRPr="00DD0783">
              <w:t xml:space="preserve"> 1 stycznia 2014 r.;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lastRenderedPageBreak/>
              <w:t>po</w:t>
            </w:r>
            <w:proofErr w:type="gramEnd"/>
            <w:r w:rsidRPr="00DD0783">
              <w:t xml:space="preserve"> 31 grudnia 2023 r. (na poziomie Programu) oraz </w:t>
            </w:r>
            <w:r w:rsidRPr="00DD0783">
              <w:br/>
              <w:t>w terminie niezgodnym z umową o dofinansowanie projektu;</w:t>
            </w:r>
          </w:p>
          <w:p w:rsidR="00A23F33" w:rsidRPr="00DD0783" w:rsidRDefault="00A23F33" w:rsidP="00C34307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niezgodnie</w:t>
            </w:r>
            <w:proofErr w:type="gramEnd"/>
            <w:r w:rsidRPr="00DD0783">
              <w:t xml:space="preserve"> z terminami określonymi w programach pomocowych lub aktach prawnych.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 umowie stanowią wydatki niekwalifikowalne.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Przygotowanie dokumentacji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 xml:space="preserve">dofinansowanie. Wydatki poniesione na dokumenty o charakterze planistycznym, takie jak Lokalny Plan Rewitalizacji czy Program Gospodarki Niskoemisyjnej, nie mogą stanowić kosztów kwalifikowalnych w projekcie. 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</w:t>
            </w:r>
            <w:proofErr w:type="gramStart"/>
            <w:r w:rsidRPr="00DD0783">
              <w:t xml:space="preserve">grantowych,  </w:t>
            </w:r>
            <w:r w:rsidRPr="00DD0783">
              <w:rPr>
                <w:u w:val="single"/>
              </w:rPr>
              <w:t>dla</w:t>
            </w:r>
            <w:proofErr w:type="gramEnd"/>
            <w:r w:rsidRPr="00DD0783">
              <w:rPr>
                <w:u w:val="single"/>
              </w:rPr>
              <w:t xml:space="preserve">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---------------------------------------------------------------------------------------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28" w:hanging="328"/>
            </w:pPr>
            <w:proofErr w:type="gramStart"/>
            <w:r w:rsidRPr="00DD0783">
              <w:t>biznesplanu</w:t>
            </w:r>
            <w:proofErr w:type="gramEnd"/>
            <w:r w:rsidRPr="00DD0783">
              <w:t>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mapy</w:t>
            </w:r>
            <w:proofErr w:type="gramEnd"/>
            <w:r w:rsidRPr="00DD0783">
              <w:t xml:space="preserve"> lub szkiców sytuujących projekt;</w:t>
            </w:r>
          </w:p>
          <w:p w:rsidR="00A23F33" w:rsidRPr="00DD0783" w:rsidRDefault="00A23F33" w:rsidP="00D44C8D">
            <w:pPr>
              <w:numPr>
                <w:ilvl w:val="0"/>
                <w:numId w:val="26"/>
              </w:numPr>
              <w:spacing w:after="0" w:line="240" w:lineRule="auto"/>
              <w:ind w:left="357" w:hanging="357"/>
            </w:pPr>
            <w:proofErr w:type="gramStart"/>
            <w:r w:rsidRPr="00DD0783">
              <w:t>innej</w:t>
            </w:r>
            <w:proofErr w:type="gramEnd"/>
            <w:r w:rsidRPr="00DD0783">
              <w:t xml:space="preserve"> dokumentacji technicznej lub finansowej niezbędnej do realizacji projektu (np. projekt budowlany, raport oddziaływania na środowisko, ekspertyzy).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VAT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Podatek VAT w stosunku do wydatków, dla których </w:t>
            </w:r>
            <w:r w:rsidR="00D44C8D" w:rsidRPr="00DD0783">
              <w:t>B</w:t>
            </w:r>
            <w:r w:rsidRPr="00DD0783">
              <w:t xml:space="preserve">eneficjent odlicza ten podatek częściowo na podstawie art. 86/art. 90 ustawy o VAT, jest </w:t>
            </w:r>
            <w:r w:rsidRPr="00DD0783">
              <w:lastRenderedPageBreak/>
              <w:t xml:space="preserve">kwalifikowalny, o ile </w:t>
            </w:r>
            <w:r w:rsidR="00D44C8D" w:rsidRPr="00DD0783">
              <w:t>B</w:t>
            </w:r>
            <w:r w:rsidRPr="00DD0783">
              <w:t>eneficjent ustanowi dla projektu przejrzysty systemy ewidencjonowania i rozliczania tego podatku i będzie w stanie udowodnić w sposób niebudzący wątpliwości, w jakiej części oraz w</w:t>
            </w:r>
            <w:r w:rsidR="003B2988" w:rsidRPr="00DD0783">
              <w:t> </w:t>
            </w:r>
            <w:r w:rsidRPr="00DD0783">
              <w:t>jakim zakresie VAT w projekcie może być kwalifikowalny.</w:t>
            </w:r>
          </w:p>
        </w:tc>
      </w:tr>
      <w:tr w:rsidR="00300834" w:rsidRPr="00DD0783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lastRenderedPageBreak/>
              <w:t>Wkład niepieniężny</w:t>
            </w:r>
          </w:p>
        </w:tc>
        <w:tc>
          <w:tcPr>
            <w:tcW w:w="3562" w:type="pct"/>
            <w:vAlign w:val="center"/>
          </w:tcPr>
          <w:p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:rsidR="00A055C8" w:rsidRPr="00DD0783" w:rsidRDefault="00894767" w:rsidP="00A055C8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stanowiący</w:t>
            </w:r>
            <w:proofErr w:type="gramEnd"/>
            <w:r w:rsidRPr="00DD0783">
              <w:t xml:space="preserve">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:rsidR="00894767" w:rsidRPr="00DD0783" w:rsidRDefault="00894767" w:rsidP="00776AD7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r w:rsidRPr="00DD0783">
              <w:t xml:space="preserve">w </w:t>
            </w:r>
            <w:proofErr w:type="gramStart"/>
            <w:r w:rsidRPr="00DD0783">
              <w:t>przypadku którego</w:t>
            </w:r>
            <w:proofErr w:type="gramEnd"/>
            <w:r w:rsidRPr="00DD0783">
              <w:t xml:space="preserve">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:rsidR="00894767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który</w:t>
            </w:r>
            <w:proofErr w:type="gramEnd"/>
            <w:r w:rsidRPr="00DD0783">
              <w:t xml:space="preserve">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:rsidR="00A2094C" w:rsidRPr="00DD0783" w:rsidRDefault="00A2094C" w:rsidP="00A2094C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dla</w:t>
            </w:r>
            <w:proofErr w:type="gramEnd"/>
            <w:r w:rsidRPr="00DD0783">
              <w:t xml:space="preserve"> którego Wnioskodawca/Beneficjent nie przedstawi aktualnej wyceny/operatu szacunkowego</w:t>
            </w:r>
            <w:r w:rsidR="00AE3F41" w:rsidRPr="00DD0783">
              <w:t>;</w:t>
            </w:r>
          </w:p>
          <w:p w:rsidR="00A2094C" w:rsidRPr="00DD0783" w:rsidRDefault="00D57423" w:rsidP="006A104F">
            <w:pPr>
              <w:pStyle w:val="Akapitzlist"/>
              <w:numPr>
                <w:ilvl w:val="0"/>
                <w:numId w:val="34"/>
              </w:numPr>
              <w:spacing w:before="120" w:after="120" w:line="240" w:lineRule="auto"/>
              <w:jc w:val="both"/>
            </w:pPr>
            <w:proofErr w:type="gramStart"/>
            <w:r w:rsidRPr="00DD0783">
              <w:t>którego</w:t>
            </w:r>
            <w:proofErr w:type="gramEnd"/>
            <w:r w:rsidRPr="00DD0783">
              <w:t xml:space="preserve">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księgowego, </w:t>
            </w:r>
            <w:proofErr w:type="gramStart"/>
            <w:r w:rsidR="00A2094C" w:rsidRPr="00DD0783">
              <w:t>chyba że</w:t>
            </w:r>
            <w:proofErr w:type="gramEnd"/>
            <w:r w:rsidR="00A2094C" w:rsidRPr="00DD0783">
              <w:t xml:space="preserve">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na ubezpieczenie nieobowiązkowe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3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</w:t>
            </w:r>
            <w:proofErr w:type="spellStart"/>
            <w:r w:rsidRPr="00DD0783">
              <w:t>Grantodawcę</w:t>
            </w:r>
            <w:proofErr w:type="spellEnd"/>
            <w:r w:rsidRPr="00DD0783">
              <w:t xml:space="preserve">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na usługi w zakresie księgowości;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0" w:line="240" w:lineRule="auto"/>
            </w:pPr>
            <w:proofErr w:type="gramStart"/>
            <w:r w:rsidRPr="00DD0783">
              <w:lastRenderedPageBreak/>
              <w:t>wydatki</w:t>
            </w:r>
            <w:proofErr w:type="gramEnd"/>
            <w:r w:rsidRPr="00DD0783">
              <w:t xml:space="preserve"> na usługi w zakresie audytu, o ile ich poniesienie nie jest wymagane przez IZ RPO/IP RPO bądź nie wynika ze specyfiki projektu i nie jest wymagane przepisami prawa;</w:t>
            </w:r>
          </w:p>
          <w:p w:rsidR="00A23F33" w:rsidRPr="00DD0783" w:rsidRDefault="00A23F33" w:rsidP="00D44C8D">
            <w:pPr>
              <w:numPr>
                <w:ilvl w:val="0"/>
                <w:numId w:val="33"/>
              </w:numPr>
              <w:spacing w:after="120" w:line="240" w:lineRule="auto"/>
              <w:ind w:left="357" w:hanging="357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na ewaluację.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Kwalifikowalne są wydatki związane z wynagrodzeniem osoby wykonującej 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partnera w projekcie lub podmiotu realizującego projekt czynności związane z zarządzaniem projektem, nieprzekraczające 1% całkowitych wydatków kwalifikowalnych w ramach projektu (2% dla projektów o wartości poniżej 500 000 PLN wydatków kwalifikowalnych) i </w:t>
            </w:r>
            <w:proofErr w:type="gramStart"/>
            <w:r w:rsidRPr="00DD0783">
              <w:t>nie przekraczające</w:t>
            </w:r>
            <w:proofErr w:type="gramEnd"/>
            <w:r w:rsidRPr="00DD0783">
              <w:t xml:space="preserve"> 5 000 PLN brutto miesięcznie. Limit 5 000 PLN brutto miesięcznie jest liczony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DD0783">
              <w:t>ww</w:t>
            </w:r>
            <w:proofErr w:type="gramEnd"/>
            <w:r w:rsidRPr="00DD0783">
              <w:t>. osoba jest bezpośrednio zaangażowana w wykonywanie ww. czynności w ramach projektu;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r w:rsidRPr="00DD0783">
              <w:t xml:space="preserve">mogą być uwzględniane tylko te ww. osoby, </w:t>
            </w:r>
            <w:proofErr w:type="gramStart"/>
            <w:r w:rsidRPr="00DD0783">
              <w:t>które w co</w:t>
            </w:r>
            <w:proofErr w:type="gramEnd"/>
            <w:r w:rsidRPr="00DD0783">
              <w:t xml:space="preserve">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:rsidR="00A23F33" w:rsidRPr="00DD0783" w:rsidRDefault="00A23F33" w:rsidP="005A77B8">
            <w:pPr>
              <w:numPr>
                <w:ilvl w:val="0"/>
                <w:numId w:val="31"/>
              </w:numPr>
              <w:spacing w:after="0" w:line="240" w:lineRule="auto"/>
            </w:pPr>
            <w:proofErr w:type="gramStart"/>
            <w:r w:rsidRPr="00DD0783">
              <w:t>wydatki</w:t>
            </w:r>
            <w:proofErr w:type="gramEnd"/>
            <w:r w:rsidRPr="00DD0783">
              <w:t xml:space="preserve"> ponoszone są wyłącznie w okresie realizacji projektu oraz za okres, w którym ww. osoba wykonywała faktycznie czynności związane w ramach projektu.</w:t>
            </w:r>
          </w:p>
          <w:p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:rsidR="00751EAB" w:rsidRPr="00DD0783" w:rsidRDefault="00751EAB" w:rsidP="00751EAB">
            <w:pPr>
              <w:pStyle w:val="Akapitzlist"/>
              <w:numPr>
                <w:ilvl w:val="0"/>
                <w:numId w:val="29"/>
              </w:numPr>
              <w:jc w:val="both"/>
            </w:pPr>
            <w:r w:rsidRPr="00DD0783">
              <w:t xml:space="preserve">1.4 </w:t>
            </w:r>
            <w:proofErr w:type="spellStart"/>
            <w:r w:rsidRPr="00DD0783">
              <w:t>Bc</w:t>
            </w:r>
            <w:proofErr w:type="spellEnd"/>
            <w:r w:rsidRPr="00DD0783">
              <w:t xml:space="preserve"> i C</w:t>
            </w:r>
            <w:r w:rsidR="00474CDD" w:rsidRPr="00DD0783">
              <w:rPr>
                <w:rStyle w:val="Odwoanieprzypisudolnego"/>
              </w:rPr>
              <w:footnoteReference w:id="4"/>
            </w:r>
            <w:r w:rsidR="00B46B35" w:rsidRPr="00DD0783">
              <w:t>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 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>/koszty wyposażenia stanowiska pracy (jeżeli nie jest to celem projektu</w:t>
            </w:r>
            <w:proofErr w:type="gramStart"/>
            <w:r w:rsidR="00A23F33" w:rsidRPr="00DD0783">
              <w:rPr>
                <w:b/>
              </w:rPr>
              <w:t>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</w:t>
            </w:r>
            <w:proofErr w:type="gramEnd"/>
            <w:r w:rsidR="00A23F33" w:rsidRPr="00DD0783">
              <w:rPr>
                <w:b/>
              </w:rPr>
              <w:t xml:space="preserve"> operacyjne/bieżące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Koszty bieżącego utrzymania/koszty wyposażenia stanowiska pracy (jeżeli nie jest to celem projektu</w:t>
            </w:r>
            <w:proofErr w:type="gramStart"/>
            <w:r w:rsidRPr="00DD0783">
              <w:t>)/ koszty</w:t>
            </w:r>
            <w:proofErr w:type="gramEnd"/>
            <w:r w:rsidRPr="00DD0783">
              <w:t xml:space="preserve"> operacyjne/bieżące stanowią wydatki niekwalifikowalne.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:rsidR="00A23F33" w:rsidRPr="00DD078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 zastosowania mechanizmu waloryzacji ceny,  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:rsidR="00532933" w:rsidRPr="00DD0783" w:rsidRDefault="00532933" w:rsidP="00013AFB">
            <w:pPr>
              <w:pStyle w:val="Akapit"/>
              <w:keepNext w:val="0"/>
              <w:numPr>
                <w:ilvl w:val="0"/>
                <w:numId w:val="43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DD0783">
              <w:rPr>
                <w:rFonts w:asciiTheme="minorHAnsi" w:hAnsiTheme="minorHAnsi"/>
                <w:sz w:val="22"/>
                <w:szCs w:val="22"/>
              </w:rPr>
              <w:t>wydatków</w:t>
            </w:r>
            <w:proofErr w:type="gramEnd"/>
            <w:r w:rsidRPr="00DD0783">
              <w:rPr>
                <w:rFonts w:asciiTheme="minorHAnsi" w:hAnsiTheme="minorHAnsi"/>
                <w:sz w:val="22"/>
                <w:szCs w:val="22"/>
              </w:rPr>
              <w:t xml:space="preserve"> wynikających ze zwiększenia wynagrodzenia ryczałtowego na mocy wyroku sądu, o którym mowa w art. 632 § 2 Kodeksu cywilnego.</w:t>
            </w:r>
          </w:p>
          <w:p w:rsidR="00A23F33" w:rsidRPr="00DD0783" w:rsidRDefault="00A23F33" w:rsidP="00FD7775">
            <w:pPr>
              <w:spacing w:before="120" w:after="120" w:line="240" w:lineRule="auto"/>
              <w:jc w:val="both"/>
            </w:pPr>
            <w:proofErr w:type="gramStart"/>
            <w:r w:rsidRPr="00DD0783">
              <w:t>stanowi</w:t>
            </w:r>
            <w:proofErr w:type="gramEnd"/>
            <w:r w:rsidRPr="00DD0783">
              <w:t xml:space="preserve"> wydatek kwalifikowalny. </w:t>
            </w:r>
          </w:p>
          <w:p w:rsidR="00FD7775" w:rsidRPr="00DD0783" w:rsidRDefault="00FD7775" w:rsidP="00FD7775">
            <w:pPr>
              <w:spacing w:before="120" w:after="120" w:line="240" w:lineRule="auto"/>
              <w:jc w:val="both"/>
            </w:pPr>
            <w:r w:rsidRPr="00DD0783">
              <w:t xml:space="preserve">Zwiększenie wynagrodzenia, o którym mowa </w:t>
            </w:r>
            <w:r w:rsidR="00854448" w:rsidRPr="00DD0783">
              <w:t>powyżej</w:t>
            </w:r>
            <w:r w:rsidRPr="00DD0783">
              <w:t xml:space="preserve"> nie powoduje automatycznego zwiększenia kwoty dofinansowania przyznanego w</w:t>
            </w:r>
            <w:r w:rsidR="007668E1">
              <w:t> </w:t>
            </w:r>
            <w:r w:rsidRPr="00DD0783">
              <w:t>umowie.</w:t>
            </w:r>
          </w:p>
        </w:tc>
      </w:tr>
      <w:tr w:rsidR="00A23F33" w:rsidRPr="00DD0783" w:rsidTr="009A053B">
        <w:tc>
          <w:tcPr>
            <w:tcW w:w="1438" w:type="pct"/>
            <w:shd w:val="clear" w:color="auto" w:fill="99CCFF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proofErr w:type="spellStart"/>
            <w:r w:rsidRPr="00DD0783">
              <w:rPr>
                <w:b/>
                <w:i/>
              </w:rPr>
              <w:t>financing</w:t>
            </w:r>
            <w:proofErr w:type="spellEnd"/>
          </w:p>
        </w:tc>
        <w:tc>
          <w:tcPr>
            <w:tcW w:w="3562" w:type="pct"/>
            <w:vAlign w:val="center"/>
          </w:tcPr>
          <w:p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</w:t>
            </w:r>
            <w:proofErr w:type="gramStart"/>
            <w:r w:rsidRPr="00DD0783">
              <w:t>chyba że</w:t>
            </w:r>
            <w:proofErr w:type="gramEnd"/>
            <w:r w:rsidRPr="00DD0783">
              <w:t xml:space="preserve"> w działaniu przewidziano inny poziom. Pod warunkiem uzyskania uprzedniej zgody IZ RPO WD, uzasadnione wydatki ponad limit są kwalifikowalne.</w:t>
            </w:r>
          </w:p>
        </w:tc>
      </w:tr>
      <w:tr w:rsidR="00FC3DFA" w:rsidRPr="00DD0783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5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</w:p>
        </w:tc>
      </w:tr>
    </w:tbl>
    <w:p w:rsidR="003A2CB6" w:rsidRPr="00DD0783" w:rsidRDefault="003A2CB6" w:rsidP="00C34307">
      <w:pPr>
        <w:jc w:val="both"/>
        <w:rPr>
          <w:b/>
          <w:color w:val="0D0D0D" w:themeColor="text1" w:themeTint="F2"/>
          <w:u w:val="single"/>
        </w:rPr>
      </w:pPr>
    </w:p>
    <w:p w:rsidR="001F2B8F" w:rsidRPr="00DD0783" w:rsidRDefault="001F2B8F" w:rsidP="001F2B8F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:rsidR="00A23F33" w:rsidRPr="00DD0783" w:rsidRDefault="00474CDD" w:rsidP="003B2988">
      <w:pPr>
        <w:jc w:val="both"/>
        <w:rPr>
          <w:b/>
        </w:rPr>
      </w:pPr>
      <w:r w:rsidRPr="00DD0783">
        <w:rPr>
          <w:b/>
        </w:rPr>
        <w:t>3</w:t>
      </w:r>
      <w:r w:rsidR="004A2A2C" w:rsidRPr="00DD0783">
        <w:rPr>
          <w:b/>
        </w:rPr>
        <w:t>.2</w:t>
      </w:r>
      <w:r w:rsidR="00921C21" w:rsidRPr="00DD0783">
        <w:rPr>
          <w:b/>
        </w:rPr>
        <w:t xml:space="preserve"> </w:t>
      </w:r>
      <w:r w:rsidR="003B2988" w:rsidRPr="00DD0783">
        <w:rPr>
          <w:b/>
        </w:rPr>
        <w:t xml:space="preserve">Szczegółowe </w:t>
      </w:r>
      <w:r w:rsidR="00D44C8D" w:rsidRPr="00DD0783">
        <w:rPr>
          <w:b/>
        </w:rPr>
        <w:t>zapisy dotyczące</w:t>
      </w:r>
      <w:r w:rsidR="00A23F33" w:rsidRPr="00DD0783">
        <w:rPr>
          <w:b/>
        </w:rPr>
        <w:t xml:space="preserve"> poszczególnych Działań – wydatki niekwalifikowalne</w:t>
      </w:r>
    </w:p>
    <w:p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</w:t>
      </w:r>
      <w:proofErr w:type="gramStart"/>
      <w:r w:rsidR="00FD7775" w:rsidRPr="00DD0783">
        <w:rPr>
          <w:b/>
        </w:rPr>
        <w:t>ramach którego</w:t>
      </w:r>
      <w:proofErr w:type="gramEnd"/>
      <w:r w:rsidR="00FD7775" w:rsidRPr="00DD0783">
        <w:rPr>
          <w:b/>
        </w:rPr>
        <w:t xml:space="preserve"> realizowany jest projekt</w:t>
      </w:r>
      <w:r w:rsidR="00D2466E" w:rsidRPr="00DD0783">
        <w:rPr>
          <w:b/>
        </w:rPr>
        <w:t>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6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</w:pPr>
      <w:r w:rsidRPr="00DD0783">
        <w:rPr>
          <w:rFonts w:eastAsia="Times New Roman" w:cs="Times New Roman"/>
        </w:rPr>
        <w:t xml:space="preserve">Wydatki na infrastrukturę </w:t>
      </w:r>
      <w:proofErr w:type="gramStart"/>
      <w:r w:rsidRPr="00DD0783">
        <w:rPr>
          <w:rFonts w:eastAsia="Times New Roman" w:cs="Times New Roman"/>
        </w:rPr>
        <w:t>TIK jeśli</w:t>
      </w:r>
      <w:proofErr w:type="gramEnd"/>
      <w:r w:rsidRPr="00DD0783">
        <w:rPr>
          <w:rFonts w:eastAsia="Times New Roman" w:cs="Times New Roman"/>
        </w:rPr>
        <w:t xml:space="preserve">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:rsidR="00A23F33" w:rsidRPr="00DD0783" w:rsidRDefault="00C34307" w:rsidP="003B2988">
      <w:pPr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:rsidR="0020624F" w:rsidRPr="00DD0783" w:rsidRDefault="00EC2BAC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7"/>
      </w:r>
      <w:r w:rsidRPr="00DD0783">
        <w:rPr>
          <w:rFonts w:eastAsia="Times New Roman" w:cs="Times New Roman"/>
        </w:rPr>
        <w:t>.</w:t>
      </w:r>
    </w:p>
    <w:p w:rsidR="00E17D76" w:rsidRPr="00DD0783" w:rsidRDefault="00E17D76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9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C34307" w:rsidP="003B2988">
      <w:pPr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 xml:space="preserve">1.2 </w:t>
      </w:r>
      <w:r w:rsidR="00A23F33" w:rsidRPr="00DD0783">
        <w:rPr>
          <w:rFonts w:eastAsia="Times New Roman" w:cs="Times New Roman"/>
          <w:b/>
        </w:rPr>
        <w:t>B: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Szacunkowe koszty płacy wynikające z utworzenia miejsc pracy w następstwie inwestycji początkowej</w:t>
      </w:r>
      <w:r w:rsidR="00FC3DFA" w:rsidRPr="00DD0783">
        <w:rPr>
          <w:rStyle w:val="Odwoanieprzypisudolnego"/>
          <w:rFonts w:eastAsia="Times New Roman" w:cs="Times New Roman"/>
        </w:rPr>
        <w:footnoteReference w:id="10"/>
      </w:r>
      <w:r w:rsidRPr="00DD0783">
        <w:rPr>
          <w:rFonts w:eastAsia="Times New Roman" w:cs="Times New Roman"/>
        </w:rPr>
        <w:t>.</w:t>
      </w:r>
    </w:p>
    <w:p w:rsidR="00F64A55" w:rsidRPr="00DD0783" w:rsidRDefault="00F64A55" w:rsidP="00F64A55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1"/>
      </w:r>
      <w:r w:rsidRPr="00DD0783">
        <w:rPr>
          <w:rFonts w:eastAsia="Times New Roman" w:cs="Times New Roman"/>
        </w:rPr>
        <w:t xml:space="preserve">. </w:t>
      </w:r>
    </w:p>
    <w:p w:rsidR="001D4A2D" w:rsidRPr="00DD0783" w:rsidRDefault="001D4A2D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bookmarkStart w:id="5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5"/>
      <w:r w:rsidRPr="00DD0783">
        <w:rPr>
          <w:rFonts w:eastAsia="Times New Roman" w:cs="Times New Roman"/>
        </w:rPr>
        <w:t>.</w:t>
      </w:r>
    </w:p>
    <w:p w:rsidR="00954E4C" w:rsidRPr="00DD0783" w:rsidRDefault="00954E4C" w:rsidP="001D4A2D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2"/>
      </w:r>
      <w:r w:rsidR="001213D3" w:rsidRPr="00DD0783">
        <w:t>.</w:t>
      </w:r>
    </w:p>
    <w:p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3B2988">
      <w:pPr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C34307" w:rsidP="003B2988">
      <w:pPr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</w:t>
      </w:r>
      <w:proofErr w:type="gramStart"/>
      <w:r w:rsidRPr="00DD0783">
        <w:rPr>
          <w:rFonts w:eastAsia="Times New Roman" w:cs="Times New Roman"/>
        </w:rPr>
        <w:t>certyfikatów jakości</w:t>
      </w:r>
      <w:proofErr w:type="gramEnd"/>
      <w:r w:rsidRPr="00DD0783">
        <w:rPr>
          <w:rFonts w:eastAsia="Times New Roman" w:cs="Times New Roman"/>
        </w:rPr>
        <w:t xml:space="preserve"> dla instytucji, które zarządzają IOB.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13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14"/>
      </w:r>
      <w:r w:rsidRPr="00DD0783">
        <w:rPr>
          <w:rFonts w:cs="Arial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BF25CB" w:rsidRDefault="00BF25CB" w:rsidP="003B2988">
      <w:pPr>
        <w:jc w:val="both"/>
        <w:rPr>
          <w:b/>
        </w:rPr>
      </w:pP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lastRenderedPageBreak/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</w:t>
      </w:r>
      <w:proofErr w:type="gramStart"/>
      <w:r w:rsidRPr="00DD0783">
        <w:rPr>
          <w:rFonts w:eastAsia="Times New Roman" w:cs="Times New Roman"/>
        </w:rPr>
        <w:t>certyfikatów jakości</w:t>
      </w:r>
      <w:proofErr w:type="gramEnd"/>
      <w:r w:rsidRPr="00DD0783">
        <w:rPr>
          <w:rFonts w:eastAsia="Times New Roman" w:cs="Times New Roman"/>
        </w:rPr>
        <w:t xml:space="preserve"> dla instytucji, które zarządzają </w:t>
      </w:r>
      <w:r w:rsidRPr="00DD0783">
        <w:rPr>
          <w:rFonts w:cs="Arial"/>
        </w:rPr>
        <w:t>infrastrukturą dla przedsiębiorstw.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A23F33" w:rsidP="003B2988">
      <w:pPr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1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7" w:name="_Toc194291240"/>
      <w:bookmarkStart w:id="8" w:name="_Toc209405135"/>
      <w:r w:rsidR="00A23F33" w:rsidRPr="00DD0783">
        <w:rPr>
          <w:b/>
        </w:rPr>
        <w:t xml:space="preserve"> </w:t>
      </w:r>
      <w:bookmarkEnd w:id="7"/>
      <w:bookmarkEnd w:id="8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30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17"/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</w:t>
      </w:r>
      <w:proofErr w:type="spellStart"/>
      <w:r w:rsidRPr="00DD0783">
        <w:rPr>
          <w:rFonts w:eastAsiaTheme="majorEastAsia" w:cstheme="majorBidi"/>
          <w:bCs/>
        </w:rPr>
        <w:t>a</w:t>
      </w:r>
      <w:proofErr w:type="spellEnd"/>
      <w:r w:rsidRPr="00DD0783">
        <w:rPr>
          <w:rFonts w:eastAsiaTheme="majorEastAsia" w:cstheme="majorBidi"/>
          <w:bCs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8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Dotacje na udział w targach/wystawach/misjach dla przedsiębiorców mających siedzibę lub prowadzących działalność gospodarczą poza granicami administracyjnymi województwa dolnośląskiego.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19"/>
      </w:r>
      <w:r w:rsidRPr="00DD0783">
        <w:t>.</w:t>
      </w:r>
    </w:p>
    <w:p w:rsidR="00A23F33" w:rsidRPr="00DD0783" w:rsidRDefault="00A23F33" w:rsidP="003B2988">
      <w:pPr>
        <w:pStyle w:val="Akapitzlist"/>
        <w:spacing w:after="0"/>
        <w:jc w:val="both"/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:rsidR="00A23F33" w:rsidRPr="00DD0783" w:rsidRDefault="00A23F33" w:rsidP="003B2988">
      <w:pPr>
        <w:jc w:val="both"/>
      </w:pPr>
      <w:r w:rsidRPr="00DD0783">
        <w:t>Wsparcie dotacyjne: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poniesione na budowę, przebudowę, rozbudowę, modernizację lub nabycie nieruchomości w celu prowadzenia działalności związanej z </w:t>
      </w:r>
      <w:proofErr w:type="gramStart"/>
      <w:r w:rsidRPr="00DD0783">
        <w:rPr>
          <w:rFonts w:eastAsia="Times New Roman" w:cs="Times New Roman"/>
        </w:rPr>
        <w:t xml:space="preserve">wynajmem </w:t>
      </w:r>
      <w:r w:rsidRPr="00DD0783">
        <w:t xml:space="preserve"> </w:t>
      </w:r>
      <w:r w:rsidRPr="00DD0783">
        <w:rPr>
          <w:rFonts w:eastAsia="Times New Roman" w:cs="Times New Roman"/>
        </w:rPr>
        <w:t>(nie</w:t>
      </w:r>
      <w:proofErr w:type="gramEnd"/>
      <w:r w:rsidRPr="00DD0783">
        <w:rPr>
          <w:rFonts w:eastAsia="Times New Roman" w:cs="Times New Roman"/>
        </w:rPr>
        <w:t xml:space="preserve">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 xml:space="preserve">). 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1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8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:rsidR="00A23F33" w:rsidRPr="00DD0783" w:rsidRDefault="00FD7775" w:rsidP="003B2988">
      <w:pPr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:rsidR="00A23F33" w:rsidRPr="00DD0783" w:rsidRDefault="00A23F33" w:rsidP="003B2988">
      <w:pPr>
        <w:pStyle w:val="Akapitzlist"/>
        <w:numPr>
          <w:ilvl w:val="0"/>
          <w:numId w:val="23"/>
        </w:numPr>
        <w:jc w:val="both"/>
        <w:rPr>
          <w:rFonts w:eastAsia="Calibri"/>
        </w:rPr>
      </w:pPr>
      <w:r w:rsidRPr="00DD0783">
        <w:rPr>
          <w:rFonts w:eastAsia="Calibri"/>
        </w:rPr>
        <w:lastRenderedPageBreak/>
        <w:t>Wydatki na usługi związane z np. prowadzeniem serwisu www, kont poczty elektronicznej, utrzymaniem/hostingiem/</w:t>
      </w:r>
      <w:proofErr w:type="spellStart"/>
      <w:r w:rsidRPr="00DD0783">
        <w:rPr>
          <w:rFonts w:eastAsia="Calibri"/>
        </w:rPr>
        <w:t>hotelingiem</w:t>
      </w:r>
      <w:proofErr w:type="spellEnd"/>
      <w:r w:rsidRPr="00DD0783">
        <w:rPr>
          <w:rFonts w:eastAsia="Calibri"/>
        </w:rPr>
        <w:t xml:space="preserve">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 xml:space="preserve">Materiały i inne środki </w:t>
      </w:r>
      <w:proofErr w:type="gramStart"/>
      <w:r w:rsidRPr="00DD0783">
        <w:rPr>
          <w:rFonts w:eastAsia="Calibri" w:cs="Times New Roman"/>
        </w:rPr>
        <w:t>nie stanowiące</w:t>
      </w:r>
      <w:proofErr w:type="gramEnd"/>
      <w:r w:rsidRPr="00DD0783">
        <w:rPr>
          <w:rFonts w:eastAsia="Calibri" w:cs="Times New Roman"/>
        </w:rPr>
        <w:t xml:space="preserve"> środków trwałych.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:rsidR="009261C8" w:rsidRPr="00DD0783" w:rsidRDefault="009261C8" w:rsidP="003B2988">
      <w:pPr>
        <w:pStyle w:val="Akapitzlist"/>
        <w:numPr>
          <w:ilvl w:val="0"/>
          <w:numId w:val="15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24"/>
      </w:r>
      <w:r w:rsidR="00176EB7" w:rsidRPr="00DD0783">
        <w:rPr>
          <w:rFonts w:eastAsia="Calibri"/>
        </w:rPr>
        <w:t>.</w:t>
      </w:r>
    </w:p>
    <w:p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:rsidR="003660EA" w:rsidRPr="00DD0783" w:rsidRDefault="003660EA" w:rsidP="003B2988">
      <w:pPr>
        <w:numPr>
          <w:ilvl w:val="0"/>
          <w:numId w:val="21"/>
        </w:numPr>
        <w:spacing w:after="0"/>
        <w:jc w:val="both"/>
      </w:pPr>
      <w:r w:rsidRPr="00DD0783">
        <w:t xml:space="preserve">Wydatki związane z </w:t>
      </w:r>
      <w:proofErr w:type="spellStart"/>
      <w:r w:rsidRPr="00DD0783">
        <w:t>przesyłem</w:t>
      </w:r>
      <w:proofErr w:type="spellEnd"/>
      <w:r w:rsidRPr="00DD0783">
        <w:t xml:space="preserve"> energii</w:t>
      </w:r>
      <w:r w:rsidRPr="00DD0783">
        <w:rPr>
          <w:rStyle w:val="Odwoanieprzypisudolnego"/>
        </w:rPr>
        <w:footnoteReference w:id="25"/>
      </w:r>
      <w:r w:rsidRPr="00DD0783">
        <w:t>.</w:t>
      </w:r>
    </w:p>
    <w:p w:rsidR="00A23F33" w:rsidRPr="00DD0783" w:rsidRDefault="00A23F33" w:rsidP="003B2988">
      <w:pPr>
        <w:numPr>
          <w:ilvl w:val="0"/>
          <w:numId w:val="21"/>
        </w:numPr>
        <w:spacing w:after="0"/>
        <w:jc w:val="both"/>
      </w:pPr>
      <w:r w:rsidRPr="00DD0783">
        <w:t>Wydatki związane z zakupem środków transportu.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</w:t>
      </w:r>
      <w:proofErr w:type="spellStart"/>
      <w:r w:rsidRPr="00DD0783">
        <w:rPr>
          <w:rFonts w:eastAsia="Times New Roman" w:cs="Times New Roman"/>
        </w:rPr>
        <w:t>Grantodawcę</w:t>
      </w:r>
      <w:proofErr w:type="spellEnd"/>
      <w:r w:rsidRPr="00DD0783">
        <w:rPr>
          <w:rFonts w:eastAsia="Times New Roman" w:cs="Times New Roman"/>
        </w:rPr>
        <w:t>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6"/>
      </w:r>
      <w:r w:rsidRPr="00DD0783">
        <w:rPr>
          <w:rFonts w:eastAsia="Times New Roman" w:cs="Times New Roman"/>
        </w:rPr>
        <w:t>.</w:t>
      </w:r>
    </w:p>
    <w:p w:rsidR="0089612D" w:rsidRPr="00DD0783" w:rsidRDefault="0089612D" w:rsidP="00042236">
      <w:pPr>
        <w:pStyle w:val="Akapitzlist"/>
        <w:numPr>
          <w:ilvl w:val="0"/>
          <w:numId w:val="21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:rsidR="00A23F33" w:rsidRPr="00DD0783" w:rsidRDefault="00A23F33" w:rsidP="003B2988">
      <w:pPr>
        <w:numPr>
          <w:ilvl w:val="0"/>
          <w:numId w:val="22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27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28"/>
      </w:r>
      <w:r w:rsidRPr="00DD0783">
        <w:rPr>
          <w:rFonts w:eastAsia="TTE1ABE920t00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:rsidR="00A23F33" w:rsidRPr="00DD0783" w:rsidRDefault="00A23F33" w:rsidP="003B2988">
      <w:pPr>
        <w:pStyle w:val="Akapitzlist"/>
        <w:numPr>
          <w:ilvl w:val="0"/>
          <w:numId w:val="22"/>
        </w:numPr>
        <w:spacing w:after="0"/>
        <w:jc w:val="both"/>
        <w:rPr>
          <w:rFonts w:eastAsia="Times New Roman" w:cs="Times New Roman"/>
        </w:rPr>
      </w:pPr>
      <w:r w:rsidRPr="00DD0783">
        <w:lastRenderedPageBreak/>
        <w:t>Wydatki związane z działaniami informacyjno-promocyjnymi projektu</w:t>
      </w:r>
      <w:r w:rsidR="00BA34D4" w:rsidRPr="00DD0783">
        <w:rPr>
          <w:rStyle w:val="Odwoanieprzypisudolnego"/>
        </w:rPr>
        <w:footnoteReference w:id="29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:rsidR="001E33E2" w:rsidRPr="00DD0783" w:rsidRDefault="001E33E2" w:rsidP="001E33E2">
      <w:pPr>
        <w:pStyle w:val="Akapitzlist"/>
        <w:numPr>
          <w:ilvl w:val="0"/>
          <w:numId w:val="22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0"/>
      </w:r>
      <w:r w:rsidRPr="00DD0783">
        <w:t>.</w:t>
      </w:r>
    </w:p>
    <w:p w:rsidR="001213D3" w:rsidRPr="00DD0783" w:rsidRDefault="001D4A2D" w:rsidP="001213D3">
      <w:pPr>
        <w:pStyle w:val="Akapitzlist"/>
        <w:numPr>
          <w:ilvl w:val="0"/>
          <w:numId w:val="22"/>
        </w:numPr>
        <w:jc w:val="both"/>
      </w:pPr>
      <w:r w:rsidRPr="00DD0783">
        <w:rPr>
          <w:rFonts w:eastAsia="Times New Roman" w:cs="Times New Roman"/>
        </w:rPr>
        <w:t xml:space="preserve">Wydatki na roboty budowlane </w:t>
      </w:r>
      <w:proofErr w:type="gramStart"/>
      <w:r w:rsidRPr="00DD0783">
        <w:rPr>
          <w:rFonts w:eastAsia="Times New Roman" w:cs="Times New Roman"/>
        </w:rPr>
        <w:t>nie związane</w:t>
      </w:r>
      <w:proofErr w:type="gramEnd"/>
      <w:r w:rsidRPr="00DD0783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1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</w:p>
    <w:p w:rsidR="00014B07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podłączenie do sieci ciepłowniczej przewyższające 49% wydatków kwalifikowalnych w projekcie.</w:t>
      </w:r>
    </w:p>
    <w:p w:rsidR="00A23F33" w:rsidRPr="00DD0783" w:rsidRDefault="00014B07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32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rPr>
          <w:rFonts w:eastAsia="Times New Roman" w:cs="Times New Roman"/>
        </w:rPr>
        <w:t xml:space="preserve">Wydatki na roboty budowlane </w:t>
      </w:r>
      <w:proofErr w:type="gramStart"/>
      <w:r w:rsidRPr="00DD0783">
        <w:rPr>
          <w:rFonts w:eastAsia="Times New Roman" w:cs="Times New Roman"/>
        </w:rPr>
        <w:t>nie związane</w:t>
      </w:r>
      <w:proofErr w:type="gramEnd"/>
      <w:r w:rsidRPr="00DD0783">
        <w:rPr>
          <w:rFonts w:eastAsia="Times New Roman" w:cs="Times New Roman"/>
        </w:rPr>
        <w:t xml:space="preserve">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:rsidR="005514D5" w:rsidRPr="00DD0783" w:rsidRDefault="005514D5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proofErr w:type="spellStart"/>
      <w:r w:rsidR="005C4AA9" w:rsidRPr="00DD0783">
        <w:t>SzOOP</w:t>
      </w:r>
      <w:proofErr w:type="spellEnd"/>
      <w:r w:rsidR="005C4AA9" w:rsidRPr="00DD0783">
        <w:t>, np. wspólny bilet, stacja ładowania pojazdów elektrycznych – niekwalifikowalne są wydatki ponad limit 49%</w:t>
      </w:r>
      <w:r w:rsidR="00862CCA" w:rsidRPr="00DD0783">
        <w:rPr>
          <w:rStyle w:val="Odwoanieprzypisudolnego"/>
          <w:b/>
        </w:rPr>
        <w:footnoteReference w:id="33"/>
      </w:r>
      <w:r w:rsidR="005C4AA9"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 na zakup środków transportu </w:t>
      </w:r>
      <w:proofErr w:type="gramStart"/>
      <w:r w:rsidRPr="00DD0783">
        <w:t>nie spełniających</w:t>
      </w:r>
      <w:proofErr w:type="gramEnd"/>
      <w:r w:rsidRPr="00DD0783">
        <w:t xml:space="preserve"> europejskich norm dotyczących komunikacji zbiorowej (np. bezpieczeństwa, środowiskowych, technicznych).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t xml:space="preserve">Wydatki na energooszczędne oświetlenie miejskie przekraczające wartość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4"/>
      </w:r>
      <w:r w:rsidRPr="00DD0783">
        <w:t xml:space="preserve">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5"/>
        </w:numPr>
        <w:jc w:val="both"/>
      </w:pPr>
      <w:r w:rsidRPr="00DD0783">
        <w:lastRenderedPageBreak/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5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oświetlenia miejskiego na innym obszarze, wówczas wydatki na centrum przesiadkowe powinny stanowić więcej niż </w:t>
      </w:r>
      <w:r w:rsidR="00D962FC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36"/>
      </w:r>
      <w:r w:rsidRPr="00DD0783">
        <w:t xml:space="preserve"> wydatków kwalifikowalnych, wydatki na drogę do 35% a pozostałą część wydatki na oświetlenie na innym obszarze, przy czym jeśli oświetlenie drogi jest obligatoryjne (wynika z przepisów prawa) to nie jest </w:t>
      </w:r>
      <w:proofErr w:type="gramStart"/>
      <w:r w:rsidRPr="00DD0783">
        <w:t>traktowane jako</w:t>
      </w:r>
      <w:proofErr w:type="gramEnd"/>
      <w:r w:rsidRPr="00DD0783">
        <w:t xml:space="preserve"> element projektu poświęconego oświetleniu lecz drogom).</w:t>
      </w:r>
    </w:p>
    <w:p w:rsidR="00A23F33" w:rsidRPr="00DD0783" w:rsidRDefault="00FD7775" w:rsidP="003B2988">
      <w:pPr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:rsidR="00A23F33" w:rsidRPr="00DD0783" w:rsidRDefault="00A23F33" w:rsidP="003B2988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</w:t>
      </w:r>
      <w:proofErr w:type="gramStart"/>
      <w:r w:rsidRPr="00DD0783">
        <w:rPr>
          <w:rFonts w:eastAsia="Times New Roman" w:cs="Times New Roman"/>
        </w:rPr>
        <w:t>nie prowadzące</w:t>
      </w:r>
      <w:proofErr w:type="gramEnd"/>
      <w:r w:rsidRPr="00DD0783">
        <w:rPr>
          <w:rFonts w:eastAsia="Times New Roman" w:cs="Times New Roman"/>
        </w:rPr>
        <w:t xml:space="preserve"> do wydłużenia przewidywanego okresu jej ekonomicznego wykorzystania. </w:t>
      </w:r>
    </w:p>
    <w:p w:rsidR="00A23F33" w:rsidRPr="00DD0783" w:rsidRDefault="00A23F33" w:rsidP="003B2988">
      <w:pPr>
        <w:pStyle w:val="Akapitzlist"/>
        <w:numPr>
          <w:ilvl w:val="0"/>
          <w:numId w:val="24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Zakup środków transportu, z wyłączeniem specjalistycznych środków transportu odpadów.</w:t>
      </w:r>
    </w:p>
    <w:p w:rsidR="00A23F33" w:rsidRPr="00DD0783" w:rsidRDefault="00A23F33" w:rsidP="003B2988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:rsidR="00A23F33" w:rsidRPr="00DD0783" w:rsidRDefault="00FD7775" w:rsidP="003B2988">
      <w:pPr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Zakup środków transportu, z wyłączeniem specjalistycznych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 do 10 tys. RLM.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:rsidR="00A23F33" w:rsidRPr="00DD0783" w:rsidRDefault="00A23F33" w:rsidP="003B2988">
      <w:pPr>
        <w:pStyle w:val="Akapitzlist"/>
        <w:numPr>
          <w:ilvl w:val="0"/>
          <w:numId w:val="12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t>Wydatki na infrastrukturę wodno-kanalizacyjną zlokalizowaną poza granicami aglomeracji uwzględnionej w Krajowym Programie Oczyszczania Ścieków Komunalnych (KPOŚK) – od 2 do 10 tys. RLM.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 xml:space="preserve">Wydatki związane z termomodernizacją, przekraczające 49% wartości całkowitych wydatków kwalifikowalnych projektu. 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jc w:val="both"/>
      </w:pPr>
      <w:r w:rsidRPr="00DD0783">
        <w:t>Zakup (ruchomych i nieruchomych) dzieł sztuki, w tym m.in. nabycie praw do nich.</w:t>
      </w:r>
    </w:p>
    <w:p w:rsidR="00A23F33" w:rsidRPr="00DD0783" w:rsidRDefault="00A23F33" w:rsidP="003B2988">
      <w:pPr>
        <w:pStyle w:val="Akapitzlist"/>
        <w:numPr>
          <w:ilvl w:val="0"/>
          <w:numId w:val="13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lastRenderedPageBreak/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 xml:space="preserve">Wydatki na wyposażenie parków krajobrazowych i rezerwatów </w:t>
      </w:r>
      <w:proofErr w:type="gramStart"/>
      <w:r w:rsidRPr="00DD0783">
        <w:t>nie przyczyniające</w:t>
      </w:r>
      <w:proofErr w:type="gramEnd"/>
      <w:r w:rsidRPr="00DD0783">
        <w:t xml:space="preserve"> się bezpośrednio do czynnej ochrony przyrody.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systemu monitoringu i zagrożeń – wydatki na zakup używanego sprzętu i wyposażenia.</w:t>
      </w:r>
    </w:p>
    <w:p w:rsidR="00A23F33" w:rsidRPr="00DD0783" w:rsidRDefault="00A23F33" w:rsidP="003B2988">
      <w:pPr>
        <w:pStyle w:val="Akapitzlist"/>
        <w:numPr>
          <w:ilvl w:val="0"/>
          <w:numId w:val="14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Wydatki na zakup (w tym leasing) sprzętu służącego do utrzymania lub remontu dróg.</w:t>
      </w:r>
    </w:p>
    <w:p w:rsidR="00A23F33" w:rsidRPr="00DD0783" w:rsidRDefault="00A23F33" w:rsidP="003B2988">
      <w:pPr>
        <w:pStyle w:val="Akapitzlist"/>
        <w:numPr>
          <w:ilvl w:val="0"/>
          <w:numId w:val="18"/>
        </w:numPr>
        <w:jc w:val="both"/>
      </w:pPr>
      <w:r w:rsidRPr="00DD0783"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37"/>
      </w:r>
      <w:r w:rsidRPr="00DD0783">
        <w:t xml:space="preserve"> można uznać za kwalifikowalne zgodnie z poniższymi regułami: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urządzenia</w:t>
      </w:r>
      <w:proofErr w:type="gramEnd"/>
      <w:r w:rsidRPr="00DD0783">
        <w:t xml:space="preserve"> odwadniające oraz odprowadzające wodę (np. rowy odwadniające, urządzenia ściekowe, kanalizacja deszczowa) – stanowią w całości wydatek kwalifikowalny;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urządzenia</w:t>
      </w:r>
      <w:proofErr w:type="gramEnd"/>
      <w:r w:rsidRPr="00DD0783">
        <w:t xml:space="preserve">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:rsidR="00A23F33" w:rsidRPr="00DD0783" w:rsidRDefault="00A23F33" w:rsidP="003B2988">
      <w:pPr>
        <w:numPr>
          <w:ilvl w:val="0"/>
          <w:numId w:val="20"/>
        </w:numPr>
        <w:spacing w:after="0"/>
        <w:jc w:val="both"/>
      </w:pPr>
      <w:proofErr w:type="gramStart"/>
      <w:r w:rsidRPr="00DD0783">
        <w:t>obiekty</w:t>
      </w:r>
      <w:proofErr w:type="gramEnd"/>
      <w:r w:rsidRPr="00DD0783">
        <w:t xml:space="preserve">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38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39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proofErr w:type="gramStart"/>
      <w:r w:rsidRPr="00DD0783">
        <w:t>urządzenia</w:t>
      </w:r>
      <w:proofErr w:type="gramEnd"/>
      <w:r w:rsidRPr="00DD0783">
        <w:t xml:space="preserve"> techniczne drogi (np. bariery ochronne, ogrodzenie drogi i inne urządzenia zabezpieczające przed wkroczeniem zwierząt na drogę, osłony </w:t>
      </w:r>
      <w:proofErr w:type="spellStart"/>
      <w:r w:rsidRPr="00DD0783">
        <w:t>przeciwolśnieniowe</w:t>
      </w:r>
      <w:proofErr w:type="spellEnd"/>
      <w:r w:rsidRPr="00DD0783">
        <w:t xml:space="preserve">, osłony </w:t>
      </w:r>
      <w:r w:rsidRPr="00DD0783">
        <w:lastRenderedPageBreak/>
        <w:t>przeciwwietrzne) mogą stanowić wydatek kwalifikowalny do wysokości 25% wydatk</w:t>
      </w:r>
      <w:r w:rsidR="003B2988" w:rsidRPr="00DD0783">
        <w:t>ów kwalifikowalnych w projekcie;</w:t>
      </w:r>
    </w:p>
    <w:p w:rsidR="00A23F33" w:rsidRPr="00DD0783" w:rsidRDefault="00A23F33" w:rsidP="003B2988">
      <w:pPr>
        <w:numPr>
          <w:ilvl w:val="0"/>
          <w:numId w:val="20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 xml:space="preserve">Wydatki na remont i bieżące utrzymanie infrastruktury kolejowej. 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na infrastrukturę poza obszarem dworca lub przystanku kolejowego, która nie służy bezpośrednio podróżnym korzystającym z połączeń kolejowych na linii, którą obsługuje dworzec lub przystanek kolejowy.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:rsidR="00A23F33" w:rsidRPr="00DD0783" w:rsidRDefault="00A23F33" w:rsidP="003B2988">
      <w:pPr>
        <w:pStyle w:val="Akapitzlist"/>
        <w:numPr>
          <w:ilvl w:val="0"/>
          <w:numId w:val="19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40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inwestycje w części związanej z prowadzeniem działalności gospodarczej </w:t>
      </w:r>
      <w:proofErr w:type="gramStart"/>
      <w:r w:rsidRPr="00DD0783">
        <w:t>nie związanej</w:t>
      </w:r>
      <w:proofErr w:type="gramEnd"/>
      <w:r w:rsidRPr="00DD0783">
        <w:t xml:space="preserve"> celem projektu we wspieranych w projekcie budynkach</w:t>
      </w:r>
      <w:r w:rsidRPr="00DD0783">
        <w:rPr>
          <w:vertAlign w:val="superscript"/>
        </w:rPr>
        <w:footnoteReference w:id="41"/>
      </w:r>
      <w:r w:rsidRPr="00DD0783">
        <w:t xml:space="preserve"> – w 6.1 C, D, E.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lastRenderedPageBreak/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:rsidR="00A70007" w:rsidRPr="00DD0783" w:rsidRDefault="00A70007" w:rsidP="003B2988">
      <w:pPr>
        <w:pStyle w:val="Akapitzlist"/>
        <w:numPr>
          <w:ilvl w:val="0"/>
          <w:numId w:val="16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42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6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43"/>
      </w:r>
      <w:r w:rsidRPr="00DD0783">
        <w:t>.</w:t>
      </w:r>
    </w:p>
    <w:p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</w:p>
    <w:p w:rsidR="006B4515" w:rsidRPr="00DD0783" w:rsidRDefault="006B4515" w:rsidP="003B2988">
      <w:pPr>
        <w:pStyle w:val="Akapitzlist"/>
        <w:ind w:left="0"/>
        <w:jc w:val="both"/>
        <w:rPr>
          <w:b/>
        </w:rPr>
      </w:pP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</w:t>
      </w:r>
      <w:proofErr w:type="gramStart"/>
      <w:r w:rsidRPr="00DD0783">
        <w:rPr>
          <w:rFonts w:eastAsia="Times New Roman" w:cs="Times New Roman"/>
        </w:rPr>
        <w:t>zakresie w jakim</w:t>
      </w:r>
      <w:proofErr w:type="gramEnd"/>
      <w:r w:rsidRPr="00DD0783">
        <w:rPr>
          <w:rFonts w:eastAsia="Times New Roman" w:cs="Times New Roman"/>
        </w:rPr>
        <w:t xml:space="preserve"> związane są z realizacją działań wskazanych w Narzędziu 26 Policy Paper tj. upowszechnienie wymiany elektronicznej dokumentacji medycznej oraz Narzędziu 27 Policy Paper tj. upowszechnienie wykorzystania </w:t>
      </w:r>
      <w:proofErr w:type="spellStart"/>
      <w:r w:rsidRPr="00DD0783">
        <w:rPr>
          <w:rFonts w:eastAsia="Times New Roman" w:cs="Times New Roman"/>
        </w:rPr>
        <w:t>telemedycyny</w:t>
      </w:r>
      <w:proofErr w:type="spellEnd"/>
      <w:r w:rsidRPr="00DD0783">
        <w:rPr>
          <w:rFonts w:eastAsia="Times New Roman" w:cs="Times New Roman"/>
        </w:rPr>
        <w:t xml:space="preserve">. 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inwestycje polegające na dostosowaniu istniejącej infrastruktury do obowiązujących przepisów – </w:t>
      </w:r>
      <w:proofErr w:type="gramStart"/>
      <w:r w:rsidRPr="00DD0783">
        <w:rPr>
          <w:rFonts w:eastAsia="Times New Roman" w:cs="Times New Roman"/>
        </w:rPr>
        <w:t>chyba że</w:t>
      </w:r>
      <w:proofErr w:type="gramEnd"/>
      <w:r w:rsidRPr="00DD0783">
        <w:rPr>
          <w:rFonts w:eastAsia="Times New Roman" w:cs="Times New Roman"/>
        </w:rPr>
        <w:t xml:space="preserve"> ich realizacja jest uzasadniona z punktu widzenia poprawy efektywności (w tym kosztowej) i dostępu do świadczeń opieki zdrowotnej.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44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pracami </w:t>
      </w:r>
      <w:proofErr w:type="gramStart"/>
      <w:r w:rsidRPr="00DD0783">
        <w:t>remontowo-budowlanymi  lub</w:t>
      </w:r>
      <w:proofErr w:type="gramEnd"/>
      <w:r w:rsidRPr="00DD0783">
        <w:t xml:space="preserve">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45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</w:t>
      </w:r>
      <w:proofErr w:type="gramStart"/>
      <w:r w:rsidRPr="00DD0783">
        <w:t>określonych  w</w:t>
      </w:r>
      <w:proofErr w:type="gramEnd"/>
      <w:r w:rsidRPr="00DD0783">
        <w:t xml:space="preserve">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46"/>
      </w:r>
      <w:r w:rsidRPr="00DD0783">
        <w:t>.</w:t>
      </w:r>
    </w:p>
    <w:p w:rsidR="006B4515" w:rsidRPr="00DD0783" w:rsidRDefault="006B4515" w:rsidP="003B2988">
      <w:pPr>
        <w:pStyle w:val="Akapitzlist"/>
        <w:jc w:val="both"/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BF25CB" w:rsidRDefault="00BF25CB" w:rsidP="003B2988">
      <w:pPr>
        <w:pStyle w:val="Akapitzlist"/>
        <w:ind w:left="0"/>
        <w:jc w:val="both"/>
        <w:rPr>
          <w:b/>
        </w:rPr>
      </w:pPr>
    </w:p>
    <w:p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:rsidR="006B4515" w:rsidRPr="00DD0783" w:rsidRDefault="006B4515" w:rsidP="003B2988">
      <w:pPr>
        <w:pStyle w:val="Akapitzlist"/>
        <w:ind w:left="0"/>
        <w:jc w:val="both"/>
        <w:rPr>
          <w:b/>
        </w:rPr>
      </w:pPr>
    </w:p>
    <w:p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47"/>
      </w:r>
      <w:r w:rsidRPr="00DD0783">
        <w:t>.</w:t>
      </w:r>
    </w:p>
    <w:p w:rsidR="00042236" w:rsidRPr="00DD0783" w:rsidRDefault="00FC3DFA" w:rsidP="00042236">
      <w:pPr>
        <w:pStyle w:val="Akapitzlist"/>
        <w:numPr>
          <w:ilvl w:val="0"/>
          <w:numId w:val="17"/>
        </w:numPr>
        <w:jc w:val="both"/>
      </w:pPr>
      <w:bookmarkStart w:id="11" w:name="_Hlk493154474"/>
      <w:r w:rsidRPr="00DD0783"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48"/>
      </w:r>
      <w:r w:rsidR="003C461F" w:rsidRPr="00DD0783">
        <w:t xml:space="preserve"> </w:t>
      </w:r>
      <w:bookmarkEnd w:id="11"/>
      <w:r w:rsidRPr="00DD0783">
        <w:rPr>
          <w:vertAlign w:val="superscript"/>
        </w:rPr>
        <w:footnoteReference w:id="49"/>
      </w:r>
      <w:r w:rsidRPr="00DD0783">
        <w:t>.</w:t>
      </w:r>
      <w:bookmarkStart w:id="12" w:name="_Hlk493154503"/>
    </w:p>
    <w:p w:rsidR="00835141" w:rsidRPr="00DD0783" w:rsidRDefault="00835141" w:rsidP="00042236">
      <w:pPr>
        <w:pStyle w:val="Akapitzlist"/>
        <w:numPr>
          <w:ilvl w:val="0"/>
          <w:numId w:val="17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50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51"/>
      </w:r>
      <w:r w:rsidRPr="00DD0783">
        <w:t xml:space="preserve">) </w:t>
      </w:r>
      <w:bookmarkEnd w:id="12"/>
      <w:r w:rsidRPr="00DD0783">
        <w:rPr>
          <w:rStyle w:val="Odwoanieprzypisudolnego"/>
        </w:rPr>
        <w:footnoteReference w:id="52"/>
      </w:r>
      <w:r w:rsidRPr="00DD0783">
        <w:t>.</w:t>
      </w:r>
    </w:p>
    <w:p w:rsidR="00A23F33" w:rsidRPr="00DD0783" w:rsidRDefault="00042236" w:rsidP="003B2988">
      <w:pPr>
        <w:pStyle w:val="Akapitzlist"/>
        <w:numPr>
          <w:ilvl w:val="0"/>
          <w:numId w:val="17"/>
        </w:numPr>
        <w:jc w:val="both"/>
        <w:rPr>
          <w:b/>
        </w:rPr>
      </w:pPr>
      <w:proofErr w:type="gramStart"/>
      <w:r w:rsidRPr="00DD0783">
        <w:t>w</w:t>
      </w:r>
      <w:r w:rsidR="00A23F33" w:rsidRPr="00DD0783">
        <w:t>ydatki</w:t>
      </w:r>
      <w:proofErr w:type="gramEnd"/>
      <w:r w:rsidR="00A23F33" w:rsidRPr="00DD0783">
        <w:t xml:space="preserve"> na uzbrojenie terenów inwestycyjnych</w:t>
      </w:r>
      <w:r w:rsidR="00A23F33" w:rsidRPr="00DD0783">
        <w:rPr>
          <w:rStyle w:val="Odwoanieprzypisudolnego"/>
        </w:rPr>
        <w:footnoteReference w:id="53"/>
      </w:r>
      <w:r w:rsidR="00981291"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17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54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55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56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57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58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10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:rsidR="00FA6BCC" w:rsidRPr="00DD0783" w:rsidRDefault="00FA6BCC" w:rsidP="00FA6BCC">
      <w:pPr>
        <w:pStyle w:val="Akapitzlist"/>
        <w:numPr>
          <w:ilvl w:val="0"/>
          <w:numId w:val="10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59"/>
      </w:r>
      <w:r w:rsidRPr="00DD0783">
        <w:rPr>
          <w:rFonts w:eastAsia="Times New Roman" w:cs="Times New Roman"/>
        </w:rPr>
        <w:t>.</w:t>
      </w:r>
    </w:p>
    <w:p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zawodową: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60"/>
      </w:r>
      <w:r w:rsidRPr="00DD0783">
        <w:t>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szkolnictwa ponadgimnazjalnego ogólnego w przypadku naborów skierowanych do szkolnictwo ponadgimnazjalnego zawodowego</w:t>
      </w:r>
      <w:r w:rsidRPr="00DD0783">
        <w:rPr>
          <w:rFonts w:eastAsia="Times New Roman" w:cs="Times New Roman"/>
          <w:vertAlign w:val="superscript"/>
        </w:rPr>
        <w:footnoteReference w:id="61"/>
      </w:r>
      <w:r w:rsidRPr="00DD0783">
        <w:rPr>
          <w:rFonts w:eastAsia="Times New Roman" w:cs="Times New Roman"/>
        </w:rPr>
        <w:t>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ponoszone na budowę nowych obiektów </w:t>
      </w:r>
      <w:proofErr w:type="gramStart"/>
      <w:r w:rsidRPr="00DD0783">
        <w:rPr>
          <w:rFonts w:eastAsia="Times New Roman" w:cs="Times New Roman"/>
        </w:rPr>
        <w:t>nie służących</w:t>
      </w:r>
      <w:proofErr w:type="gramEnd"/>
      <w:r w:rsidRPr="00DD0783">
        <w:rPr>
          <w:rFonts w:eastAsia="Times New Roman" w:cs="Times New Roman"/>
        </w:rPr>
        <w:t xml:space="preserve"> praktycznej nauce zawodu oraz rozbudowę obiektów nie służących praktycznej nauce zawodu o budynki trwale nie połączone z istniejącym już obiektem.</w:t>
      </w:r>
    </w:p>
    <w:p w:rsidR="00A23F33" w:rsidRPr="00DD0783" w:rsidRDefault="00A23F33" w:rsidP="003B2988">
      <w:pPr>
        <w:pStyle w:val="Akapitzlist"/>
        <w:numPr>
          <w:ilvl w:val="0"/>
          <w:numId w:val="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:rsidR="00243F87" w:rsidRPr="00DD0783" w:rsidRDefault="00243F87" w:rsidP="00243F87">
      <w:pPr>
        <w:pStyle w:val="Akapitzlist"/>
        <w:numPr>
          <w:ilvl w:val="0"/>
          <w:numId w:val="9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62"/>
      </w:r>
      <w:r w:rsidRPr="00DD0783">
        <w:rPr>
          <w:rFonts w:eastAsia="Times New Roman" w:cs="Times New Roman"/>
        </w:rPr>
        <w:t>.</w:t>
      </w:r>
    </w:p>
    <w:p w:rsidR="00EA19D0" w:rsidRPr="00BF25CB" w:rsidRDefault="00A23F33" w:rsidP="006B4515">
      <w:pPr>
        <w:pStyle w:val="Akapitzlist"/>
        <w:numPr>
          <w:ilvl w:val="0"/>
          <w:numId w:val="9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sectPr w:rsidR="00EA19D0" w:rsidRPr="00BF25CB" w:rsidSect="00013AFB">
      <w:footerReference w:type="default" r:id="rId8"/>
      <w:headerReference w:type="first" r:id="rId9"/>
      <w:footerReference w:type="firs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27B2" w:rsidRDefault="000F27B2" w:rsidP="00BA376B">
      <w:pPr>
        <w:spacing w:after="0" w:line="240" w:lineRule="auto"/>
      </w:pPr>
      <w:r>
        <w:separator/>
      </w:r>
    </w:p>
  </w:endnote>
  <w:endnote w:type="continuationSeparator" w:id="0">
    <w:p w:rsidR="000F27B2" w:rsidRDefault="000F27B2" w:rsidP="00BA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TE1ABE920t00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:rsidR="007A2810" w:rsidRDefault="008B1B4E">
        <w:pPr>
          <w:pStyle w:val="Stopka"/>
          <w:jc w:val="right"/>
        </w:pPr>
        <w:r>
          <w:fldChar w:fldCharType="begin"/>
        </w:r>
        <w:r w:rsidR="007A2810">
          <w:instrText xml:space="preserve"> PAGE   \* MERGEFORMAT </w:instrText>
        </w:r>
        <w:r>
          <w:fldChar w:fldCharType="separate"/>
        </w:r>
        <w:r w:rsidR="00FC6DBC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7A2810" w:rsidRDefault="007A2810" w:rsidP="00DC41A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3F" w:rsidRPr="00C41932" w:rsidRDefault="00133D3F" w:rsidP="00133D3F">
    <w:pPr>
      <w:spacing w:after="0"/>
      <w:jc w:val="center"/>
      <w:rPr>
        <w:noProof/>
        <w:sz w:val="12"/>
        <w:szCs w:val="12"/>
      </w:rPr>
    </w:pPr>
    <w:r>
      <w:rPr>
        <w:noProof/>
        <w:sz w:val="12"/>
        <w:szCs w:val="12"/>
      </w:rPr>
      <w:pict>
        <v:rect id="_x0000_i1025" style="width:453.5pt;height:1pt" o:hralign="center" o:hrstd="t" o:hr="t" fillcolor="#a0a0a0" stroked="f"/>
      </w:pict>
    </w:r>
    <w:r w:rsidRPr="00C41932">
      <w:rPr>
        <w:noProof/>
        <w:sz w:val="12"/>
        <w:szCs w:val="12"/>
      </w:rPr>
      <w:drawing>
        <wp:inline distT="0" distB="0" distL="0" distR="0" wp14:anchorId="59FCCA0D" wp14:editId="51E037B4">
          <wp:extent cx="4968552" cy="620051"/>
          <wp:effectExtent l="0" t="0" r="3810" b="8890"/>
          <wp:docPr id="1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33D3F" w:rsidRPr="00F076EA" w:rsidRDefault="00133D3F" w:rsidP="00133D3F">
    <w:pPr>
      <w:spacing w:after="0"/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 xml:space="preserve">Projekt współfinansowany ze </w:t>
    </w:r>
    <w:proofErr w:type="gramStart"/>
    <w:r>
      <w:rPr>
        <w:b/>
        <w:i/>
        <w:sz w:val="16"/>
        <w:szCs w:val="16"/>
      </w:rPr>
      <w:t>środków  Europejskiego</w:t>
    </w:r>
    <w:proofErr w:type="gramEnd"/>
    <w:r>
      <w:rPr>
        <w:b/>
        <w:i/>
        <w:sz w:val="16"/>
        <w:szCs w:val="16"/>
      </w:rPr>
      <w:t xml:space="preserve"> Funduszu Społecznego</w:t>
    </w:r>
  </w:p>
  <w:p w:rsidR="00133D3F" w:rsidRDefault="00133D3F" w:rsidP="00133D3F">
    <w:pPr>
      <w:pStyle w:val="Stopka"/>
    </w:pPr>
  </w:p>
  <w:p w:rsidR="00133D3F" w:rsidRDefault="00133D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27B2" w:rsidRDefault="000F27B2" w:rsidP="00BA376B">
      <w:pPr>
        <w:spacing w:after="0" w:line="240" w:lineRule="auto"/>
      </w:pPr>
      <w:r>
        <w:separator/>
      </w:r>
    </w:p>
  </w:footnote>
  <w:footnote w:type="continuationSeparator" w:id="0">
    <w:p w:rsidR="000F27B2" w:rsidRDefault="000F27B2" w:rsidP="00BA376B">
      <w:pPr>
        <w:spacing w:after="0" w:line="240" w:lineRule="auto"/>
      </w:pPr>
      <w:r>
        <w:continuationSeparator/>
      </w:r>
    </w:p>
  </w:footnote>
  <w:footnote w:id="1">
    <w:p w:rsidR="007A2810" w:rsidRPr="00013AFB" w:rsidRDefault="007A2810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 odniesieniu do obliczania kosztów kwalifikowalnych (Dz. Urz. UE L 156/1 z 20.6.2017, </w:t>
      </w:r>
      <w:proofErr w:type="gramStart"/>
      <w:r w:rsidRPr="00013AFB">
        <w:t>s</w:t>
      </w:r>
      <w:proofErr w:type="gramEnd"/>
      <w:r w:rsidRPr="00013AFB">
        <w:t>. 1).</w:t>
      </w:r>
    </w:p>
  </w:footnote>
  <w:footnote w:id="2">
    <w:p w:rsidR="007A2810" w:rsidRPr="00013AFB" w:rsidRDefault="007A2810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:rsidR="007A2810" w:rsidRPr="00013AFB" w:rsidRDefault="007A2810" w:rsidP="00013AFB">
      <w:pPr>
        <w:pStyle w:val="Tekstprzypisudolnego"/>
        <w:jc w:val="both"/>
        <w:rPr>
          <w:b/>
        </w:rPr>
      </w:pPr>
    </w:p>
  </w:footnote>
  <w:footnote w:id="3">
    <w:p w:rsidR="007A2810" w:rsidRPr="00013AFB" w:rsidRDefault="007A2810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do dnia 26.10.2016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  <w:p w:rsidR="007A2810" w:rsidRPr="00013AFB" w:rsidRDefault="007A2810">
      <w:pPr>
        <w:pStyle w:val="Tekstprzypisudolnego"/>
      </w:pPr>
    </w:p>
  </w:footnote>
  <w:footnote w:id="4">
    <w:p w:rsidR="007A2810" w:rsidRPr="00013AFB" w:rsidRDefault="007A2810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</w:t>
      </w:r>
      <w:proofErr w:type="gramStart"/>
      <w:r w:rsidRPr="00013AFB">
        <w:t>r</w:t>
      </w:r>
      <w:proofErr w:type="gramEnd"/>
      <w:r w:rsidRPr="00013AFB">
        <w:t>. – dotyczy odpowiednio 1.4 C i 1.4 D.</w:t>
      </w:r>
    </w:p>
  </w:footnote>
  <w:footnote w:id="5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</w:t>
      </w:r>
      <w:proofErr w:type="gramStart"/>
      <w:r w:rsidRPr="00013AFB">
        <w:t>r</w:t>
      </w:r>
      <w:proofErr w:type="gramEnd"/>
      <w:r w:rsidRPr="00013AFB">
        <w:t xml:space="preserve">. do dnia 20.11.2016 </w:t>
      </w:r>
      <w:proofErr w:type="gramStart"/>
      <w:r w:rsidRPr="00013AFB">
        <w:t>r</w:t>
      </w:r>
      <w:proofErr w:type="gramEnd"/>
      <w:r w:rsidRPr="00013AFB">
        <w:t>. Dla pozostałych konkursów – zapis nieobowiązujący.</w:t>
      </w:r>
    </w:p>
  </w:footnote>
  <w:footnote w:id="6">
    <w:p w:rsidR="007A2810" w:rsidRPr="00013AFB" w:rsidRDefault="007A2810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</w:t>
      </w:r>
      <w:proofErr w:type="gramStart"/>
      <w:r w:rsidRPr="00013AFB">
        <w:t>. 3)a</w:t>
      </w:r>
      <w:proofErr w:type="gramEnd"/>
      <w:r w:rsidRPr="00013AFB">
        <w:t xml:space="preserve">) ustawy z dn. 30 kwietnia 2010 r. o zasadach finansowania nauki, tekst. </w:t>
      </w:r>
      <w:proofErr w:type="gramStart"/>
      <w:r w:rsidRPr="00013AFB">
        <w:t>jedn</w:t>
      </w:r>
      <w:proofErr w:type="gramEnd"/>
      <w:r w:rsidRPr="00013AFB">
        <w:t xml:space="preserve">.: Dz. U. </w:t>
      </w:r>
      <w:proofErr w:type="gramStart"/>
      <w:r w:rsidRPr="00013AFB">
        <w:t>z</w:t>
      </w:r>
      <w:proofErr w:type="gramEnd"/>
      <w:r w:rsidRPr="00013AFB">
        <w:t xml:space="preserve"> 2014 r., poz. 1620 z </w:t>
      </w:r>
      <w:proofErr w:type="spellStart"/>
      <w:r w:rsidRPr="00013AFB">
        <w:t>późn</w:t>
      </w:r>
      <w:proofErr w:type="spellEnd"/>
      <w:r w:rsidRPr="00013AFB">
        <w:t xml:space="preserve">. </w:t>
      </w:r>
      <w:proofErr w:type="gramStart"/>
      <w:r w:rsidRPr="00013AFB">
        <w:t>zm</w:t>
      </w:r>
      <w:proofErr w:type="gramEnd"/>
      <w:r w:rsidRPr="00013AFB">
        <w:t>.).</w:t>
      </w:r>
    </w:p>
  </w:footnote>
  <w:footnote w:id="7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16.01.2017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8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</w:t>
      </w:r>
      <w:proofErr w:type="gramStart"/>
      <w:r w:rsidRPr="002E11F5">
        <w:t>r</w:t>
      </w:r>
      <w:proofErr w:type="gramEnd"/>
      <w:r w:rsidRPr="002E11F5">
        <w:t xml:space="preserve">. </w:t>
      </w:r>
      <w:bookmarkStart w:id="4" w:name="_Hlk493167426"/>
      <w:r w:rsidRPr="002E11F5">
        <w:t xml:space="preserve">Dla konkursów ogłaszanych od dnia 23.11.2015 </w:t>
      </w:r>
      <w:proofErr w:type="gramStart"/>
      <w:r w:rsidRPr="002E11F5">
        <w:t>r</w:t>
      </w:r>
      <w:proofErr w:type="gramEnd"/>
      <w:r w:rsidRPr="002E11F5">
        <w:t>. – zapis nieobowiązujący.</w:t>
      </w:r>
      <w:bookmarkEnd w:id="4"/>
    </w:p>
  </w:footnote>
  <w:footnote w:id="9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wydatek kwalifikowalny.</w:t>
      </w:r>
    </w:p>
  </w:footnote>
  <w:footnote w:id="10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1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</w:t>
      </w:r>
      <w:proofErr w:type="gramStart"/>
      <w:r w:rsidRPr="002E11F5">
        <w:t>r</w:t>
      </w:r>
      <w:proofErr w:type="gramEnd"/>
      <w:r w:rsidRPr="002E11F5">
        <w:t xml:space="preserve">. do dnia 20.11.2016 </w:t>
      </w:r>
      <w:proofErr w:type="gramStart"/>
      <w:r w:rsidRPr="002E11F5">
        <w:t>r</w:t>
      </w:r>
      <w:proofErr w:type="gramEnd"/>
      <w:r w:rsidRPr="002E11F5">
        <w:t xml:space="preserve">. oraz konkursów ogłaszanych od dnia 16.01.2017 </w:t>
      </w:r>
      <w:proofErr w:type="gramStart"/>
      <w:r w:rsidRPr="002E11F5">
        <w:t>r</w:t>
      </w:r>
      <w:proofErr w:type="gramEnd"/>
      <w:r w:rsidRPr="002E11F5">
        <w:t xml:space="preserve">. Dla konkursów ogłaszanych od dnia 21.11.2016 </w:t>
      </w:r>
      <w:proofErr w:type="gramStart"/>
      <w:r w:rsidRPr="002E11F5">
        <w:t>r</w:t>
      </w:r>
      <w:proofErr w:type="gramEnd"/>
      <w:r w:rsidRPr="002E11F5">
        <w:t xml:space="preserve">. do dnia 15.01.2017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2">
    <w:p w:rsidR="007A2810" w:rsidRPr="002E11F5" w:rsidRDefault="007A2810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6" w:name="_Hlk492628914"/>
      <w:r w:rsidRPr="002E11F5">
        <w:t xml:space="preserve">Dotyczy konkursów ogłaszanych od dnia 28.12.2015 </w:t>
      </w:r>
      <w:proofErr w:type="gramStart"/>
      <w:r w:rsidRPr="002E11F5">
        <w:t>r</w:t>
      </w:r>
      <w:proofErr w:type="gramEnd"/>
      <w:r w:rsidRPr="002E11F5">
        <w:t>.</w:t>
      </w:r>
      <w:bookmarkEnd w:id="6"/>
      <w:r w:rsidRPr="002E11F5">
        <w:t xml:space="preserve">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3">
    <w:p w:rsidR="007A2810" w:rsidRPr="00013AFB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4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5">
    <w:p w:rsidR="00042236" w:rsidRDefault="0004223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 xml:space="preserve">Dotyczy konkursów ogłaszanych od dnia 29.06.2016 </w:t>
      </w:r>
      <w:proofErr w:type="gramStart"/>
      <w:r w:rsidRPr="00013AFB">
        <w:t>r</w:t>
      </w:r>
      <w:proofErr w:type="gramEnd"/>
      <w:r w:rsidRPr="00013AFB">
        <w:t xml:space="preserve">. Dla konkursów ogłaszanych przed 29.06.2016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16">
    <w:p w:rsidR="007A2810" w:rsidRPr="002E11F5" w:rsidRDefault="007A2810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>. Dla konkursów ogłaszanych przed 26.08.201</w:t>
      </w:r>
      <w:r w:rsidR="0082055F">
        <w:t>6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 xml:space="preserve">. – zapis </w:t>
      </w:r>
      <w:r w:rsidRPr="002E11F5">
        <w:t>nieobowiązujący.</w:t>
      </w:r>
    </w:p>
  </w:footnote>
  <w:footnote w:id="17">
    <w:p w:rsidR="007A2810" w:rsidRPr="00013AFB" w:rsidRDefault="007A2810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1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9" w:name="_Hlk493575490"/>
      <w:r w:rsidRPr="00013AFB">
        <w:t xml:space="preserve">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9"/>
    </w:p>
  </w:footnote>
  <w:footnote w:id="1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0">
    <w:p w:rsidR="007A2810" w:rsidRPr="00013AFB" w:rsidRDefault="007A2810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</w:t>
      </w:r>
      <w:r w:rsidR="00B46B35" w:rsidRPr="002F4911">
        <w:t>Zapis w zakresie usług hotelarskich d</w:t>
      </w:r>
      <w:r w:rsidRPr="002F4911">
        <w:t xml:space="preserve">otyczy konkursów ogłaszanych od dnia 23.05.2016 </w:t>
      </w:r>
      <w:proofErr w:type="gramStart"/>
      <w:r w:rsidRPr="002F4911">
        <w:t>r</w:t>
      </w:r>
      <w:proofErr w:type="gramEnd"/>
      <w:r w:rsidRPr="002F4911">
        <w:t xml:space="preserve">. Dla konkursów ogłaszanych przed 23.05.2016 </w:t>
      </w:r>
      <w:proofErr w:type="gramStart"/>
      <w:r w:rsidRPr="002F4911">
        <w:t>r</w:t>
      </w:r>
      <w:proofErr w:type="gramEnd"/>
      <w:r w:rsidRPr="002F4911">
        <w:t>. – zapis nieobowiązujący</w:t>
      </w:r>
      <w:r w:rsidR="00B46B35" w:rsidRPr="002F4911">
        <w:t xml:space="preserve"> (wydatek w zakresie usług hotelarskich – niekwalifikowalny)</w:t>
      </w:r>
      <w:r w:rsidRPr="002F4911">
        <w:t>.</w:t>
      </w:r>
    </w:p>
  </w:footnote>
  <w:footnote w:id="21">
    <w:p w:rsidR="007A2810" w:rsidRPr="00013AFB" w:rsidRDefault="007A2810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</w:t>
      </w:r>
      <w:proofErr w:type="gramStart"/>
      <w:r w:rsidRPr="002E11F5">
        <w:t>r</w:t>
      </w:r>
      <w:proofErr w:type="gramEnd"/>
      <w:r w:rsidRPr="002E11F5">
        <w:t xml:space="preserve">. Dla konkursów ogłaszanych przed 28.12.2015 </w:t>
      </w:r>
      <w:proofErr w:type="gramStart"/>
      <w:r w:rsidRPr="002E11F5">
        <w:t>r</w:t>
      </w:r>
      <w:proofErr w:type="gramEnd"/>
      <w:r w:rsidRPr="002E11F5">
        <w:t>. – zapis nieobowiązujący.</w:t>
      </w:r>
    </w:p>
  </w:footnote>
  <w:footnote w:id="2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</w:t>
      </w:r>
      <w:proofErr w:type="gramStart"/>
      <w:r w:rsidRPr="00013AFB">
        <w:t>r</w:t>
      </w:r>
      <w:proofErr w:type="gramEnd"/>
      <w:r w:rsidRPr="00013AFB">
        <w:t xml:space="preserve">. Dla konkursów ogłaszanych od dnia 25.01.2016 </w:t>
      </w:r>
      <w:proofErr w:type="gramStart"/>
      <w:r w:rsidRPr="00013AFB">
        <w:t>r</w:t>
      </w:r>
      <w:proofErr w:type="gramEnd"/>
      <w:r w:rsidRPr="00013AFB">
        <w:t xml:space="preserve">. – zapis nieobowiązujący. </w:t>
      </w:r>
    </w:p>
  </w:footnote>
  <w:footnote w:id="26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7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8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</w:t>
      </w:r>
      <w:proofErr w:type="gramStart"/>
      <w:r w:rsidRPr="00013AFB">
        <w:t>r</w:t>
      </w:r>
      <w:proofErr w:type="gramEnd"/>
      <w:r w:rsidRPr="00013AFB">
        <w:t xml:space="preserve">. Dla konkursów ogłaszanych przed 27.07.2016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29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 Dotyczy konkursów ogłaszanych od dnia 28.12.2015 </w:t>
      </w:r>
      <w:proofErr w:type="gramStart"/>
      <w:r w:rsidRPr="00013AFB">
        <w:t>r</w:t>
      </w:r>
      <w:proofErr w:type="gramEnd"/>
      <w:r w:rsidRPr="00013AFB">
        <w:t xml:space="preserve">. Dla konkursów ogłaszanych przed 28.12.2015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0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1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0" w:name="_Hlk492464795"/>
      <w:r w:rsidRPr="00013AFB">
        <w:t xml:space="preserve">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  <w:bookmarkEnd w:id="10"/>
    </w:p>
  </w:footnote>
  <w:footnote w:id="32">
    <w:p w:rsidR="007A2810" w:rsidRPr="00013AFB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</w:t>
      </w:r>
      <w:proofErr w:type="gramStart"/>
      <w:r w:rsidRPr="00013AFB">
        <w:t>r</w:t>
      </w:r>
      <w:proofErr w:type="gramEnd"/>
      <w:r w:rsidRPr="00013AFB">
        <w:t xml:space="preserve">. Dla konkursów ogłaszanych od dnia 23.05.2016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33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</w:t>
      </w:r>
      <w:proofErr w:type="gramStart"/>
      <w:r w:rsidRPr="00013AFB">
        <w:t>r</w:t>
      </w:r>
      <w:proofErr w:type="gramEnd"/>
      <w:r w:rsidRPr="00013AFB">
        <w:t>. – 50%.</w:t>
      </w:r>
    </w:p>
  </w:footnote>
  <w:footnote w:id="3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8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39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4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4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16.01.2017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3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 w:rsidR="00042236">
        <w:t>obniżyć wydatki kwalifikowalne.</w:t>
      </w:r>
    </w:p>
  </w:footnote>
  <w:footnote w:id="44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5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6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</w:t>
      </w:r>
      <w:proofErr w:type="gramStart"/>
      <w:r w:rsidRPr="00013AFB">
        <w:t>r</w:t>
      </w:r>
      <w:proofErr w:type="gramEnd"/>
      <w:r w:rsidRPr="00013AFB">
        <w:t xml:space="preserve">. Dla konkursów ogłaszanych przed 26.08.2016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47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48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proofErr w:type="gramStart"/>
      <w:r w:rsidRPr="00042236">
        <w:t>r</w:t>
      </w:r>
      <w:proofErr w:type="gramEnd"/>
      <w:r w:rsidRPr="00042236">
        <w:t xml:space="preserve">. Dla konkursów ogłaszanych od dnia 26.09.2016 </w:t>
      </w:r>
      <w:proofErr w:type="gramStart"/>
      <w:r w:rsidRPr="00042236">
        <w:t>r</w:t>
      </w:r>
      <w:proofErr w:type="gramEnd"/>
      <w:r w:rsidRPr="00042236">
        <w:t>. – zapis nieobowiązujący.</w:t>
      </w:r>
      <w:r w:rsidRPr="00013AFB">
        <w:t xml:space="preserve"> </w:t>
      </w:r>
    </w:p>
  </w:footnote>
  <w:footnote w:id="49">
    <w:p w:rsidR="007A2810" w:rsidRPr="00042236" w:rsidRDefault="007A2810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50">
    <w:p w:rsidR="007A2810" w:rsidRPr="00042236" w:rsidRDefault="007A2810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</w:t>
      </w:r>
      <w:proofErr w:type="gramStart"/>
      <w:r w:rsidRPr="00042236">
        <w:t>r</w:t>
      </w:r>
      <w:proofErr w:type="gramEnd"/>
      <w:r w:rsidRPr="00042236">
        <w:t xml:space="preserve">. Dla konkursów ogłaszanych przed 26.09.2016 </w:t>
      </w:r>
      <w:proofErr w:type="gramStart"/>
      <w:r w:rsidRPr="00042236">
        <w:t>r</w:t>
      </w:r>
      <w:proofErr w:type="gramEnd"/>
      <w:r w:rsidRPr="00042236">
        <w:t>. – zapis nieobowiązujący</w:t>
      </w:r>
    </w:p>
  </w:footnote>
  <w:footnote w:id="51">
    <w:p w:rsidR="007A2810" w:rsidRPr="00042236" w:rsidRDefault="007A2810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</w:t>
      </w:r>
      <w:proofErr w:type="gramStart"/>
      <w:r w:rsidRPr="00042236">
        <w:t>r</w:t>
      </w:r>
      <w:proofErr w:type="gramEnd"/>
      <w:r w:rsidRPr="00042236">
        <w:t>. Dla konkursów ogłaszanych przed 16.01.201</w:t>
      </w:r>
      <w:r w:rsidR="0083462E">
        <w:t>7</w:t>
      </w:r>
      <w:r w:rsidRPr="00042236">
        <w:t xml:space="preserve"> </w:t>
      </w:r>
      <w:proofErr w:type="gramStart"/>
      <w:r w:rsidRPr="00042236">
        <w:t>r</w:t>
      </w:r>
      <w:proofErr w:type="gramEnd"/>
      <w:r w:rsidRPr="00042236">
        <w:t>. – zapis nieobowiązujący.</w:t>
      </w:r>
    </w:p>
  </w:footnote>
  <w:footnote w:id="52">
    <w:p w:rsidR="007A2810" w:rsidRPr="00042236" w:rsidRDefault="007A2810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:rsidR="007A2810" w:rsidRPr="00042236" w:rsidRDefault="007A2810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54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55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 w:rsidR="0083462E">
        <w:t>.</w:t>
      </w:r>
    </w:p>
  </w:footnote>
  <w:footnote w:id="56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57">
    <w:p w:rsidR="007A2810" w:rsidRPr="00042236" w:rsidRDefault="007A2810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58">
    <w:p w:rsidR="007A2810" w:rsidRPr="00013AFB" w:rsidRDefault="007A2810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</w:t>
      </w:r>
      <w:proofErr w:type="gramStart"/>
      <w:r w:rsidRPr="00042236">
        <w:rPr>
          <w:color w:val="000000" w:themeColor="text1"/>
        </w:rPr>
        <w:t>ponadgimnazjalną  należy</w:t>
      </w:r>
      <w:proofErr w:type="gramEnd"/>
      <w:r w:rsidRPr="00042236">
        <w:rPr>
          <w:color w:val="000000" w:themeColor="text1"/>
        </w:rPr>
        <w:t xml:space="preserve">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59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  <w:footnote w:id="60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zawodowej w</w:t>
      </w:r>
      <w:r w:rsidR="00B722A5"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61">
    <w:p w:rsidR="007A2810" w:rsidRPr="00013AFB" w:rsidRDefault="007A2810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</w:t>
      </w:r>
      <w:proofErr w:type="gramStart"/>
      <w:r w:rsidRPr="00013AFB">
        <w:t>na  szkołę</w:t>
      </w:r>
      <w:proofErr w:type="gramEnd"/>
      <w:r w:rsidRPr="00013AFB">
        <w:t xml:space="preserve">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62">
    <w:p w:rsidR="007A2810" w:rsidRPr="00013AFB" w:rsidRDefault="007A2810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</w:t>
      </w:r>
      <w:proofErr w:type="gramStart"/>
      <w:r w:rsidRPr="00013AFB">
        <w:t>r</w:t>
      </w:r>
      <w:proofErr w:type="gramEnd"/>
      <w:r w:rsidRPr="00013AFB">
        <w:t xml:space="preserve">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</w:t>
      </w:r>
      <w:proofErr w:type="gramStart"/>
      <w:r w:rsidRPr="00013AFB">
        <w:t>r</w:t>
      </w:r>
      <w:proofErr w:type="gramEnd"/>
      <w:r w:rsidRPr="00013AFB">
        <w:t>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D3F" w:rsidRDefault="00133D3F" w:rsidP="00133D3F">
    <w:pPr>
      <w:spacing w:after="0"/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 wp14:anchorId="66DA18D3" wp14:editId="57F739C8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133D3F" w:rsidRPr="005F5249" w:rsidRDefault="00133D3F" w:rsidP="00133D3F">
    <w:pPr>
      <w:spacing w:after="0"/>
      <w:jc w:val="right"/>
      <w:rPr>
        <w:noProof/>
        <w:sz w:val="16"/>
        <w:szCs w:val="16"/>
        <w:u w:val="single"/>
      </w:rPr>
    </w:pPr>
    <w:r w:rsidRPr="005F5249">
      <w:rPr>
        <w:noProof/>
        <w:color w:val="000000"/>
        <w:sz w:val="16"/>
        <w:szCs w:val="16"/>
      </w:rPr>
      <w:t>Ul. Strzegomska 2-4, 53-611 Wrocław, tel. +48 71</w:t>
    </w:r>
    <w:r>
      <w:rPr>
        <w:noProof/>
        <w:color w:val="000000"/>
        <w:sz w:val="16"/>
        <w:szCs w:val="16"/>
      </w:rPr>
      <w:t xml:space="preserve"> 776 58 00, </w:t>
    </w:r>
  </w:p>
  <w:p w:rsidR="00133D3F" w:rsidRDefault="00133D3F" w:rsidP="00133D3F">
    <w:pPr>
      <w:pStyle w:val="Stopka"/>
      <w:jc w:val="right"/>
      <w:rPr>
        <w:sz w:val="16"/>
        <w:szCs w:val="16"/>
      </w:rPr>
    </w:pPr>
    <w:hyperlink r:id="rId2" w:history="1">
      <w:r w:rsidRPr="00120363">
        <w:rPr>
          <w:rStyle w:val="Hipercze"/>
          <w:sz w:val="16"/>
          <w:szCs w:val="16"/>
        </w:rPr>
        <w:t>sekretariat@dip.dolnyslask.pl</w:t>
      </w:r>
    </w:hyperlink>
    <w:r w:rsidRPr="00120363">
      <w:rPr>
        <w:sz w:val="16"/>
        <w:szCs w:val="16"/>
      </w:rPr>
      <w:t xml:space="preserve">, </w:t>
    </w:r>
    <w:hyperlink r:id="rId3" w:history="1">
      <w:r w:rsidRPr="009D450E">
        <w:rPr>
          <w:rStyle w:val="Hipercze"/>
          <w:sz w:val="16"/>
          <w:szCs w:val="16"/>
        </w:rPr>
        <w:t>www.dip.dolnyslask.pl</w:t>
      </w:r>
    </w:hyperlink>
  </w:p>
  <w:p w:rsidR="00133D3F" w:rsidRDefault="00133D3F" w:rsidP="00133D3F">
    <w:pPr>
      <w:pStyle w:val="Nagwek"/>
    </w:pPr>
  </w:p>
  <w:p w:rsidR="00133D3F" w:rsidRDefault="00133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6922"/>
    <w:multiLevelType w:val="hybridMultilevel"/>
    <w:tmpl w:val="174AD78A"/>
    <w:lvl w:ilvl="0" w:tplc="6E8EB4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142784"/>
    <w:multiLevelType w:val="hybridMultilevel"/>
    <w:tmpl w:val="A1862C52"/>
    <w:lvl w:ilvl="0" w:tplc="496AEAC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4B3BEA"/>
    <w:multiLevelType w:val="multilevel"/>
    <w:tmpl w:val="863AF3E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6" w15:restartNumberingAfterBreak="0">
    <w:nsid w:val="043C2E9E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8F49C7"/>
    <w:multiLevelType w:val="hybridMultilevel"/>
    <w:tmpl w:val="4D8E95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83F4D7C"/>
    <w:multiLevelType w:val="hybridMultilevel"/>
    <w:tmpl w:val="867A778A"/>
    <w:lvl w:ilvl="0" w:tplc="F08E181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BB3484"/>
    <w:multiLevelType w:val="hybridMultilevel"/>
    <w:tmpl w:val="ECA2B130"/>
    <w:lvl w:ilvl="0" w:tplc="7884E9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B40490"/>
    <w:multiLevelType w:val="hybridMultilevel"/>
    <w:tmpl w:val="90442CBC"/>
    <w:lvl w:ilvl="0" w:tplc="FFFFFFFF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  <w:b w:val="0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1C2054"/>
    <w:multiLevelType w:val="hybridMultilevel"/>
    <w:tmpl w:val="FA0C636E"/>
    <w:lvl w:ilvl="0" w:tplc="C310B624">
      <w:start w:val="1"/>
      <w:numFmt w:val="lowerRoman"/>
      <w:lvlText w:val="%1.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19" w15:restartNumberingAfterBreak="0">
    <w:nsid w:val="29C92CAE"/>
    <w:multiLevelType w:val="hybridMultilevel"/>
    <w:tmpl w:val="B3C86D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881275"/>
    <w:multiLevelType w:val="hybridMultilevel"/>
    <w:tmpl w:val="EA985F4C"/>
    <w:lvl w:ilvl="0" w:tplc="4C92E7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57F5D"/>
    <w:multiLevelType w:val="hybridMultilevel"/>
    <w:tmpl w:val="1FD6C348"/>
    <w:lvl w:ilvl="0" w:tplc="97AC239A">
      <w:start w:val="4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E907F4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B63BE6"/>
    <w:multiLevelType w:val="hybridMultilevel"/>
    <w:tmpl w:val="30D83C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5BCE3B2B"/>
    <w:multiLevelType w:val="hybridMultilevel"/>
    <w:tmpl w:val="5E3C9F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03732A"/>
    <w:multiLevelType w:val="hybridMultilevel"/>
    <w:tmpl w:val="E0F24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03728"/>
    <w:multiLevelType w:val="hybridMultilevel"/>
    <w:tmpl w:val="C58AD898"/>
    <w:lvl w:ilvl="0" w:tplc="31E47A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9" w15:restartNumberingAfterBreak="0">
    <w:nsid w:val="64A13FB0"/>
    <w:multiLevelType w:val="hybridMultilevel"/>
    <w:tmpl w:val="27323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FA5969"/>
    <w:multiLevelType w:val="hybridMultilevel"/>
    <w:tmpl w:val="D7C2E7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0419E6"/>
    <w:multiLevelType w:val="hybridMultilevel"/>
    <w:tmpl w:val="055051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1"/>
  </w:num>
  <w:num w:numId="3">
    <w:abstractNumId w:val="6"/>
  </w:num>
  <w:num w:numId="4">
    <w:abstractNumId w:val="20"/>
  </w:num>
  <w:num w:numId="5">
    <w:abstractNumId w:val="8"/>
  </w:num>
  <w:num w:numId="6">
    <w:abstractNumId w:val="39"/>
  </w:num>
  <w:num w:numId="7">
    <w:abstractNumId w:val="10"/>
  </w:num>
  <w:num w:numId="8">
    <w:abstractNumId w:val="16"/>
  </w:num>
  <w:num w:numId="9">
    <w:abstractNumId w:val="7"/>
  </w:num>
  <w:num w:numId="10">
    <w:abstractNumId w:val="4"/>
  </w:num>
  <w:num w:numId="11">
    <w:abstractNumId w:val="24"/>
  </w:num>
  <w:num w:numId="12">
    <w:abstractNumId w:val="2"/>
  </w:num>
  <w:num w:numId="13">
    <w:abstractNumId w:val="14"/>
  </w:num>
  <w:num w:numId="14">
    <w:abstractNumId w:val="45"/>
  </w:num>
  <w:num w:numId="15">
    <w:abstractNumId w:val="29"/>
  </w:num>
  <w:num w:numId="16">
    <w:abstractNumId w:val="26"/>
  </w:num>
  <w:num w:numId="17">
    <w:abstractNumId w:val="25"/>
  </w:num>
  <w:num w:numId="18">
    <w:abstractNumId w:val="42"/>
  </w:num>
  <w:num w:numId="19">
    <w:abstractNumId w:val="13"/>
  </w:num>
  <w:num w:numId="20">
    <w:abstractNumId w:val="33"/>
  </w:num>
  <w:num w:numId="21">
    <w:abstractNumId w:val="40"/>
  </w:num>
  <w:num w:numId="22">
    <w:abstractNumId w:val="35"/>
  </w:num>
  <w:num w:numId="23">
    <w:abstractNumId w:val="43"/>
  </w:num>
  <w:num w:numId="24">
    <w:abstractNumId w:val="28"/>
  </w:num>
  <w:num w:numId="25">
    <w:abstractNumId w:val="44"/>
  </w:num>
  <w:num w:numId="26">
    <w:abstractNumId w:val="21"/>
  </w:num>
  <w:num w:numId="27">
    <w:abstractNumId w:val="36"/>
  </w:num>
  <w:num w:numId="28">
    <w:abstractNumId w:val="34"/>
  </w:num>
  <w:num w:numId="29">
    <w:abstractNumId w:val="9"/>
  </w:num>
  <w:num w:numId="30">
    <w:abstractNumId w:val="5"/>
  </w:num>
  <w:num w:numId="31">
    <w:abstractNumId w:val="32"/>
  </w:num>
  <w:num w:numId="32">
    <w:abstractNumId w:val="19"/>
  </w:num>
  <w:num w:numId="33">
    <w:abstractNumId w:val="41"/>
  </w:num>
  <w:num w:numId="34">
    <w:abstractNumId w:val="11"/>
  </w:num>
  <w:num w:numId="35">
    <w:abstractNumId w:val="12"/>
  </w:num>
  <w:num w:numId="3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15"/>
  </w:num>
  <w:num w:numId="39">
    <w:abstractNumId w:val="1"/>
  </w:num>
  <w:num w:numId="40">
    <w:abstractNumId w:val="3"/>
  </w:num>
  <w:num w:numId="41">
    <w:abstractNumId w:val="17"/>
  </w:num>
  <w:num w:numId="42">
    <w:abstractNumId w:val="18"/>
  </w:num>
  <w:num w:numId="43">
    <w:abstractNumId w:val="38"/>
  </w:num>
  <w:num w:numId="44">
    <w:abstractNumId w:val="27"/>
  </w:num>
  <w:num w:numId="45">
    <w:abstractNumId w:val="23"/>
  </w:num>
  <w:num w:numId="46">
    <w:abstractNumId w:val="3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4867"/>
    <w:rsid w:val="00004C9E"/>
    <w:rsid w:val="0000607D"/>
    <w:rsid w:val="00006885"/>
    <w:rsid w:val="000073EF"/>
    <w:rsid w:val="00011EB2"/>
    <w:rsid w:val="00013AFB"/>
    <w:rsid w:val="0001438D"/>
    <w:rsid w:val="00014B07"/>
    <w:rsid w:val="0002135C"/>
    <w:rsid w:val="000246BF"/>
    <w:rsid w:val="0003417B"/>
    <w:rsid w:val="0003532D"/>
    <w:rsid w:val="00042236"/>
    <w:rsid w:val="00052964"/>
    <w:rsid w:val="000659B6"/>
    <w:rsid w:val="00083768"/>
    <w:rsid w:val="00083CEF"/>
    <w:rsid w:val="00084C67"/>
    <w:rsid w:val="00084D56"/>
    <w:rsid w:val="0008638F"/>
    <w:rsid w:val="000906B8"/>
    <w:rsid w:val="00093E1E"/>
    <w:rsid w:val="000A19EB"/>
    <w:rsid w:val="000A53A4"/>
    <w:rsid w:val="000B01E1"/>
    <w:rsid w:val="000B0270"/>
    <w:rsid w:val="000C3A67"/>
    <w:rsid w:val="000C582F"/>
    <w:rsid w:val="000D0455"/>
    <w:rsid w:val="000D0C61"/>
    <w:rsid w:val="000D1933"/>
    <w:rsid w:val="000E0CA5"/>
    <w:rsid w:val="000E7698"/>
    <w:rsid w:val="000F001B"/>
    <w:rsid w:val="000F27B2"/>
    <w:rsid w:val="000F49C6"/>
    <w:rsid w:val="00103C88"/>
    <w:rsid w:val="001116F8"/>
    <w:rsid w:val="00117082"/>
    <w:rsid w:val="001213D3"/>
    <w:rsid w:val="00122E9E"/>
    <w:rsid w:val="00133D3F"/>
    <w:rsid w:val="00133D89"/>
    <w:rsid w:val="00145381"/>
    <w:rsid w:val="00146477"/>
    <w:rsid w:val="00166557"/>
    <w:rsid w:val="00170946"/>
    <w:rsid w:val="00171D56"/>
    <w:rsid w:val="00176EB7"/>
    <w:rsid w:val="001776F9"/>
    <w:rsid w:val="001802C5"/>
    <w:rsid w:val="0018241A"/>
    <w:rsid w:val="001864C1"/>
    <w:rsid w:val="00195883"/>
    <w:rsid w:val="00195F10"/>
    <w:rsid w:val="001A68EE"/>
    <w:rsid w:val="001B53D6"/>
    <w:rsid w:val="001B56C8"/>
    <w:rsid w:val="001B5A3E"/>
    <w:rsid w:val="001D4A2D"/>
    <w:rsid w:val="001E1928"/>
    <w:rsid w:val="001E33E2"/>
    <w:rsid w:val="001F282A"/>
    <w:rsid w:val="001F2B8F"/>
    <w:rsid w:val="001F6903"/>
    <w:rsid w:val="001F7D9D"/>
    <w:rsid w:val="0020153F"/>
    <w:rsid w:val="0020624F"/>
    <w:rsid w:val="002110F5"/>
    <w:rsid w:val="00211DDA"/>
    <w:rsid w:val="002160BC"/>
    <w:rsid w:val="00225518"/>
    <w:rsid w:val="00230321"/>
    <w:rsid w:val="00243F87"/>
    <w:rsid w:val="002464C4"/>
    <w:rsid w:val="00251E0F"/>
    <w:rsid w:val="0025620F"/>
    <w:rsid w:val="00261786"/>
    <w:rsid w:val="002618A4"/>
    <w:rsid w:val="00262CBA"/>
    <w:rsid w:val="00267983"/>
    <w:rsid w:val="002800FC"/>
    <w:rsid w:val="00285E19"/>
    <w:rsid w:val="002A1E9F"/>
    <w:rsid w:val="002A3B5A"/>
    <w:rsid w:val="002B7AA0"/>
    <w:rsid w:val="002C3185"/>
    <w:rsid w:val="002C5B11"/>
    <w:rsid w:val="002E02A1"/>
    <w:rsid w:val="002E0308"/>
    <w:rsid w:val="002E11F5"/>
    <w:rsid w:val="002E1FA9"/>
    <w:rsid w:val="002E2386"/>
    <w:rsid w:val="002E2DC5"/>
    <w:rsid w:val="002E4C4C"/>
    <w:rsid w:val="002E69F4"/>
    <w:rsid w:val="002F212C"/>
    <w:rsid w:val="002F2152"/>
    <w:rsid w:val="002F4911"/>
    <w:rsid w:val="00300834"/>
    <w:rsid w:val="003049DC"/>
    <w:rsid w:val="00306106"/>
    <w:rsid w:val="003128AA"/>
    <w:rsid w:val="00316F35"/>
    <w:rsid w:val="003260E2"/>
    <w:rsid w:val="0033048A"/>
    <w:rsid w:val="0033340B"/>
    <w:rsid w:val="003463E9"/>
    <w:rsid w:val="00352F66"/>
    <w:rsid w:val="0035767B"/>
    <w:rsid w:val="003660EA"/>
    <w:rsid w:val="00370D86"/>
    <w:rsid w:val="00372F2E"/>
    <w:rsid w:val="003818AE"/>
    <w:rsid w:val="00384A7D"/>
    <w:rsid w:val="003865F7"/>
    <w:rsid w:val="003878D6"/>
    <w:rsid w:val="0039420B"/>
    <w:rsid w:val="0039514F"/>
    <w:rsid w:val="003A2CB6"/>
    <w:rsid w:val="003B2988"/>
    <w:rsid w:val="003B5299"/>
    <w:rsid w:val="003C461F"/>
    <w:rsid w:val="003C4F00"/>
    <w:rsid w:val="003E3046"/>
    <w:rsid w:val="003F064E"/>
    <w:rsid w:val="003F0BE3"/>
    <w:rsid w:val="003F3E56"/>
    <w:rsid w:val="003F6BB8"/>
    <w:rsid w:val="0040430E"/>
    <w:rsid w:val="00405F6A"/>
    <w:rsid w:val="00420900"/>
    <w:rsid w:val="00431815"/>
    <w:rsid w:val="00437EDB"/>
    <w:rsid w:val="00440827"/>
    <w:rsid w:val="00442ACB"/>
    <w:rsid w:val="0044751A"/>
    <w:rsid w:val="0045127E"/>
    <w:rsid w:val="00454E85"/>
    <w:rsid w:val="004560EA"/>
    <w:rsid w:val="00474CDD"/>
    <w:rsid w:val="00476F64"/>
    <w:rsid w:val="004776FD"/>
    <w:rsid w:val="00480147"/>
    <w:rsid w:val="0048731C"/>
    <w:rsid w:val="004971D5"/>
    <w:rsid w:val="00497328"/>
    <w:rsid w:val="004A2A2C"/>
    <w:rsid w:val="004A2B72"/>
    <w:rsid w:val="004B50A2"/>
    <w:rsid w:val="004E2152"/>
    <w:rsid w:val="004E5DB2"/>
    <w:rsid w:val="005100D3"/>
    <w:rsid w:val="00513F17"/>
    <w:rsid w:val="00523226"/>
    <w:rsid w:val="005241F1"/>
    <w:rsid w:val="00530FE3"/>
    <w:rsid w:val="00532933"/>
    <w:rsid w:val="00543FDD"/>
    <w:rsid w:val="00550BB3"/>
    <w:rsid w:val="005514D5"/>
    <w:rsid w:val="005648B6"/>
    <w:rsid w:val="00564B2E"/>
    <w:rsid w:val="005713F9"/>
    <w:rsid w:val="00571E01"/>
    <w:rsid w:val="00572698"/>
    <w:rsid w:val="00577616"/>
    <w:rsid w:val="0058440F"/>
    <w:rsid w:val="00587278"/>
    <w:rsid w:val="005A05C2"/>
    <w:rsid w:val="005A1C33"/>
    <w:rsid w:val="005A293F"/>
    <w:rsid w:val="005A2AD0"/>
    <w:rsid w:val="005A77B8"/>
    <w:rsid w:val="005B69D1"/>
    <w:rsid w:val="005C4AA9"/>
    <w:rsid w:val="005E0959"/>
    <w:rsid w:val="005E77EA"/>
    <w:rsid w:val="006322F0"/>
    <w:rsid w:val="0064152C"/>
    <w:rsid w:val="0064672B"/>
    <w:rsid w:val="006503C0"/>
    <w:rsid w:val="0065628C"/>
    <w:rsid w:val="00672D78"/>
    <w:rsid w:val="00673263"/>
    <w:rsid w:val="006740FC"/>
    <w:rsid w:val="006868A7"/>
    <w:rsid w:val="006902BC"/>
    <w:rsid w:val="00694CDD"/>
    <w:rsid w:val="006A104F"/>
    <w:rsid w:val="006B4515"/>
    <w:rsid w:val="006C1838"/>
    <w:rsid w:val="006C602E"/>
    <w:rsid w:val="006D610B"/>
    <w:rsid w:val="006D6172"/>
    <w:rsid w:val="006D7B9D"/>
    <w:rsid w:val="006E42DC"/>
    <w:rsid w:val="006E71A1"/>
    <w:rsid w:val="006F0401"/>
    <w:rsid w:val="00703141"/>
    <w:rsid w:val="00704FC5"/>
    <w:rsid w:val="00720BAA"/>
    <w:rsid w:val="007225B7"/>
    <w:rsid w:val="00735BA3"/>
    <w:rsid w:val="00740D87"/>
    <w:rsid w:val="00743091"/>
    <w:rsid w:val="00751EAB"/>
    <w:rsid w:val="00763C29"/>
    <w:rsid w:val="007668E1"/>
    <w:rsid w:val="00771350"/>
    <w:rsid w:val="00776AD7"/>
    <w:rsid w:val="0078012E"/>
    <w:rsid w:val="00786F7B"/>
    <w:rsid w:val="0079275E"/>
    <w:rsid w:val="007A27A2"/>
    <w:rsid w:val="007A2810"/>
    <w:rsid w:val="007B6812"/>
    <w:rsid w:val="007C4FA3"/>
    <w:rsid w:val="007C6813"/>
    <w:rsid w:val="007D41C6"/>
    <w:rsid w:val="007D58D4"/>
    <w:rsid w:val="007F246F"/>
    <w:rsid w:val="0080714A"/>
    <w:rsid w:val="0082055F"/>
    <w:rsid w:val="00821267"/>
    <w:rsid w:val="0082525C"/>
    <w:rsid w:val="00832700"/>
    <w:rsid w:val="008331B2"/>
    <w:rsid w:val="0083462E"/>
    <w:rsid w:val="00835141"/>
    <w:rsid w:val="00854448"/>
    <w:rsid w:val="00854498"/>
    <w:rsid w:val="0085656D"/>
    <w:rsid w:val="00856BC5"/>
    <w:rsid w:val="00857AC0"/>
    <w:rsid w:val="00862CCA"/>
    <w:rsid w:val="0086410B"/>
    <w:rsid w:val="0086480A"/>
    <w:rsid w:val="00870C75"/>
    <w:rsid w:val="00894767"/>
    <w:rsid w:val="0089612D"/>
    <w:rsid w:val="008A114E"/>
    <w:rsid w:val="008B1B4E"/>
    <w:rsid w:val="008C1CF1"/>
    <w:rsid w:val="008C40DC"/>
    <w:rsid w:val="008C55F5"/>
    <w:rsid w:val="008C79B5"/>
    <w:rsid w:val="008D303E"/>
    <w:rsid w:val="008D669B"/>
    <w:rsid w:val="008E069B"/>
    <w:rsid w:val="008E5643"/>
    <w:rsid w:val="008F27E5"/>
    <w:rsid w:val="008F7051"/>
    <w:rsid w:val="008F7969"/>
    <w:rsid w:val="009051E5"/>
    <w:rsid w:val="0091649D"/>
    <w:rsid w:val="009165AA"/>
    <w:rsid w:val="009178E4"/>
    <w:rsid w:val="00921C21"/>
    <w:rsid w:val="00922EE0"/>
    <w:rsid w:val="009241EE"/>
    <w:rsid w:val="009261C8"/>
    <w:rsid w:val="009265A0"/>
    <w:rsid w:val="009311D0"/>
    <w:rsid w:val="00951123"/>
    <w:rsid w:val="00954E4C"/>
    <w:rsid w:val="00956FC8"/>
    <w:rsid w:val="00961B4A"/>
    <w:rsid w:val="00972A3D"/>
    <w:rsid w:val="00975738"/>
    <w:rsid w:val="00981291"/>
    <w:rsid w:val="009828B7"/>
    <w:rsid w:val="009962EA"/>
    <w:rsid w:val="009964AC"/>
    <w:rsid w:val="0099764D"/>
    <w:rsid w:val="009A053B"/>
    <w:rsid w:val="009B3E6D"/>
    <w:rsid w:val="009C40E3"/>
    <w:rsid w:val="009D79D3"/>
    <w:rsid w:val="009F303C"/>
    <w:rsid w:val="009F4425"/>
    <w:rsid w:val="009F5B41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F33"/>
    <w:rsid w:val="00A326B2"/>
    <w:rsid w:val="00A350AB"/>
    <w:rsid w:val="00A37FB6"/>
    <w:rsid w:val="00A4175C"/>
    <w:rsid w:val="00A41909"/>
    <w:rsid w:val="00A47A68"/>
    <w:rsid w:val="00A5400B"/>
    <w:rsid w:val="00A55E66"/>
    <w:rsid w:val="00A56179"/>
    <w:rsid w:val="00A658F6"/>
    <w:rsid w:val="00A67324"/>
    <w:rsid w:val="00A70007"/>
    <w:rsid w:val="00A866E2"/>
    <w:rsid w:val="00AA1384"/>
    <w:rsid w:val="00AA5CF3"/>
    <w:rsid w:val="00AB3FFC"/>
    <w:rsid w:val="00AD049A"/>
    <w:rsid w:val="00AD459A"/>
    <w:rsid w:val="00AD5D87"/>
    <w:rsid w:val="00AD788D"/>
    <w:rsid w:val="00AE3F41"/>
    <w:rsid w:val="00B0374E"/>
    <w:rsid w:val="00B21109"/>
    <w:rsid w:val="00B3047E"/>
    <w:rsid w:val="00B3578B"/>
    <w:rsid w:val="00B37DFD"/>
    <w:rsid w:val="00B46B35"/>
    <w:rsid w:val="00B46DBB"/>
    <w:rsid w:val="00B51850"/>
    <w:rsid w:val="00B63C7D"/>
    <w:rsid w:val="00B71741"/>
    <w:rsid w:val="00B722A5"/>
    <w:rsid w:val="00B73188"/>
    <w:rsid w:val="00B75AFB"/>
    <w:rsid w:val="00B779C7"/>
    <w:rsid w:val="00B857F0"/>
    <w:rsid w:val="00B922A1"/>
    <w:rsid w:val="00BA0A54"/>
    <w:rsid w:val="00BA34D4"/>
    <w:rsid w:val="00BA376B"/>
    <w:rsid w:val="00BA69A3"/>
    <w:rsid w:val="00BB6C1F"/>
    <w:rsid w:val="00BB7BBA"/>
    <w:rsid w:val="00BC45D8"/>
    <w:rsid w:val="00BC602F"/>
    <w:rsid w:val="00BD54CF"/>
    <w:rsid w:val="00BE1B38"/>
    <w:rsid w:val="00BF25CB"/>
    <w:rsid w:val="00BF6BA2"/>
    <w:rsid w:val="00BF7A1E"/>
    <w:rsid w:val="00C10F6C"/>
    <w:rsid w:val="00C1514B"/>
    <w:rsid w:val="00C309B2"/>
    <w:rsid w:val="00C34307"/>
    <w:rsid w:val="00C569B0"/>
    <w:rsid w:val="00C71537"/>
    <w:rsid w:val="00C7490E"/>
    <w:rsid w:val="00C7692F"/>
    <w:rsid w:val="00C878CC"/>
    <w:rsid w:val="00C92E90"/>
    <w:rsid w:val="00C963D4"/>
    <w:rsid w:val="00CA154F"/>
    <w:rsid w:val="00CA7C2D"/>
    <w:rsid w:val="00CC50C8"/>
    <w:rsid w:val="00CD5727"/>
    <w:rsid w:val="00CF14EF"/>
    <w:rsid w:val="00CF1577"/>
    <w:rsid w:val="00D22318"/>
    <w:rsid w:val="00D2466E"/>
    <w:rsid w:val="00D34FFF"/>
    <w:rsid w:val="00D4055A"/>
    <w:rsid w:val="00D434AA"/>
    <w:rsid w:val="00D44A22"/>
    <w:rsid w:val="00D44C64"/>
    <w:rsid w:val="00D44C8D"/>
    <w:rsid w:val="00D57423"/>
    <w:rsid w:val="00D57C7F"/>
    <w:rsid w:val="00D57F01"/>
    <w:rsid w:val="00D60F14"/>
    <w:rsid w:val="00D71A33"/>
    <w:rsid w:val="00D82006"/>
    <w:rsid w:val="00D82864"/>
    <w:rsid w:val="00D82B9D"/>
    <w:rsid w:val="00D908D7"/>
    <w:rsid w:val="00D962FC"/>
    <w:rsid w:val="00DA2D40"/>
    <w:rsid w:val="00DA4896"/>
    <w:rsid w:val="00DB22A0"/>
    <w:rsid w:val="00DB3EEB"/>
    <w:rsid w:val="00DC0D5F"/>
    <w:rsid w:val="00DC344B"/>
    <w:rsid w:val="00DC41A5"/>
    <w:rsid w:val="00DC7B18"/>
    <w:rsid w:val="00DD0783"/>
    <w:rsid w:val="00DE4173"/>
    <w:rsid w:val="00DE67FD"/>
    <w:rsid w:val="00DE6FD6"/>
    <w:rsid w:val="00E02300"/>
    <w:rsid w:val="00E06B87"/>
    <w:rsid w:val="00E073CD"/>
    <w:rsid w:val="00E11787"/>
    <w:rsid w:val="00E16F00"/>
    <w:rsid w:val="00E17D76"/>
    <w:rsid w:val="00E20765"/>
    <w:rsid w:val="00E234B5"/>
    <w:rsid w:val="00E27978"/>
    <w:rsid w:val="00E32EED"/>
    <w:rsid w:val="00E35143"/>
    <w:rsid w:val="00E41533"/>
    <w:rsid w:val="00E45E07"/>
    <w:rsid w:val="00E64BE0"/>
    <w:rsid w:val="00E7191F"/>
    <w:rsid w:val="00E7606F"/>
    <w:rsid w:val="00E76550"/>
    <w:rsid w:val="00E8327F"/>
    <w:rsid w:val="00E91B98"/>
    <w:rsid w:val="00E96BDE"/>
    <w:rsid w:val="00EA19D0"/>
    <w:rsid w:val="00EA3A7A"/>
    <w:rsid w:val="00EB09C6"/>
    <w:rsid w:val="00EC2BAC"/>
    <w:rsid w:val="00EC3A76"/>
    <w:rsid w:val="00ED4A1C"/>
    <w:rsid w:val="00ED7D28"/>
    <w:rsid w:val="00EE25F0"/>
    <w:rsid w:val="00EE4FE6"/>
    <w:rsid w:val="00EF4269"/>
    <w:rsid w:val="00EF5114"/>
    <w:rsid w:val="00F02060"/>
    <w:rsid w:val="00F022FE"/>
    <w:rsid w:val="00F147DD"/>
    <w:rsid w:val="00F15451"/>
    <w:rsid w:val="00F1776C"/>
    <w:rsid w:val="00F2036F"/>
    <w:rsid w:val="00F24B7C"/>
    <w:rsid w:val="00F35FEC"/>
    <w:rsid w:val="00F55FA8"/>
    <w:rsid w:val="00F64A55"/>
    <w:rsid w:val="00F65196"/>
    <w:rsid w:val="00F709E4"/>
    <w:rsid w:val="00F739EA"/>
    <w:rsid w:val="00F73E38"/>
    <w:rsid w:val="00F766F3"/>
    <w:rsid w:val="00F96969"/>
    <w:rsid w:val="00FA65C9"/>
    <w:rsid w:val="00FA6BCC"/>
    <w:rsid w:val="00FB59C0"/>
    <w:rsid w:val="00FC247E"/>
    <w:rsid w:val="00FC3DFA"/>
    <w:rsid w:val="00FC6DBC"/>
    <w:rsid w:val="00FD76DE"/>
    <w:rsid w:val="00FD7775"/>
    <w:rsid w:val="00FE17BC"/>
    <w:rsid w:val="00FE685B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74EF39-0D88-40DE-A263-9B6627C5C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7616"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1BCAEC-6F01-41F0-81EC-BCF0E723B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6115</Words>
  <Characters>36691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42721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Joanna Krynicka</cp:lastModifiedBy>
  <cp:revision>4</cp:revision>
  <cp:lastPrinted>2018-01-22T10:51:00Z</cp:lastPrinted>
  <dcterms:created xsi:type="dcterms:W3CDTF">2018-06-08T06:11:00Z</dcterms:created>
  <dcterms:modified xsi:type="dcterms:W3CDTF">2018-06-08T06:14:00Z</dcterms:modified>
</cp:coreProperties>
</file>