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56" w:rsidRPr="009313DB" w:rsidRDefault="00BB7F60" w:rsidP="0072798D">
      <w:pPr>
        <w:autoSpaceDE w:val="0"/>
        <w:autoSpaceDN w:val="0"/>
        <w:adjustRightInd w:val="0"/>
        <w:spacing w:line="240" w:lineRule="auto"/>
        <w:jc w:val="both"/>
        <w:rPr>
          <w:rFonts w:asciiTheme="minorHAnsi" w:hAnsiTheme="minorHAnsi"/>
          <w:b/>
          <w:szCs w:val="22"/>
        </w:rPr>
      </w:pPr>
      <w:bookmarkStart w:id="0" w:name="_Toc426632922"/>
      <w:bookmarkStart w:id="1" w:name="_Toc430826826"/>
      <w:bookmarkStart w:id="2" w:name="_Toc432758974"/>
      <w:r>
        <w:rPr>
          <w:rFonts w:asciiTheme="minorHAnsi" w:hAnsiTheme="minorHAnsi" w:cs="Calibri"/>
          <w:b/>
          <w:color w:val="000000"/>
          <w:szCs w:val="22"/>
        </w:rPr>
        <w:t xml:space="preserve">Załącznik nr </w:t>
      </w:r>
      <w:r w:rsidR="00490CFC">
        <w:rPr>
          <w:rFonts w:asciiTheme="minorHAnsi" w:hAnsiTheme="minorHAnsi" w:cs="Calibri"/>
          <w:b/>
          <w:color w:val="000000"/>
          <w:szCs w:val="22"/>
        </w:rPr>
        <w:t>2</w:t>
      </w:r>
      <w:r>
        <w:rPr>
          <w:rFonts w:asciiTheme="minorHAnsi" w:hAnsiTheme="minorHAnsi" w:cs="Calibri"/>
          <w:b/>
          <w:color w:val="000000"/>
          <w:szCs w:val="22"/>
        </w:rPr>
        <w:t xml:space="preserve"> </w:t>
      </w:r>
      <w:r w:rsidR="00E55074">
        <w:rPr>
          <w:rFonts w:asciiTheme="minorHAnsi" w:hAnsiTheme="minorHAnsi" w:cs="Calibri"/>
          <w:b/>
          <w:color w:val="000000"/>
          <w:szCs w:val="22"/>
        </w:rPr>
        <w:t xml:space="preserve">- </w:t>
      </w:r>
      <w:r w:rsidR="00490CFC">
        <w:rPr>
          <w:rFonts w:asciiTheme="minorHAnsi" w:hAnsiTheme="minorHAnsi" w:cs="Calibri"/>
          <w:b/>
          <w:color w:val="000000"/>
          <w:szCs w:val="22"/>
        </w:rPr>
        <w:t>lista</w:t>
      </w:r>
      <w:r w:rsidR="0072798D" w:rsidRPr="0072798D">
        <w:rPr>
          <w:rFonts w:asciiTheme="minorHAnsi" w:hAnsiTheme="minorHAnsi" w:cs="Calibri"/>
          <w:b/>
          <w:color w:val="000000"/>
          <w:szCs w:val="22"/>
        </w:rPr>
        <w:t xml:space="preserve"> wskaźników na poziomie projektu dla Działania 3.3 Efektywność energetyczna w budynkach użyteczności publicznej i sektorze mieszkaniowym</w:t>
      </w:r>
      <w:r w:rsidR="004F61E3">
        <w:rPr>
          <w:rFonts w:asciiTheme="minorHAnsi" w:hAnsiTheme="minorHAnsi" w:cs="Calibri"/>
          <w:b/>
          <w:color w:val="000000"/>
          <w:szCs w:val="22"/>
        </w:rPr>
        <w:t xml:space="preserve"> </w:t>
      </w:r>
      <w:r w:rsidR="000C6AFA">
        <w:rPr>
          <w:rFonts w:asciiTheme="minorHAnsi" w:hAnsiTheme="minorHAnsi" w:cs="Calibri"/>
          <w:b/>
          <w:color w:val="000000"/>
          <w:szCs w:val="22"/>
        </w:rPr>
        <w:t xml:space="preserve">- </w:t>
      </w:r>
      <w:r w:rsidR="004F61E3">
        <w:rPr>
          <w:rFonts w:asciiTheme="minorHAnsi" w:hAnsiTheme="minorHAnsi" w:cs="Calibri"/>
          <w:b/>
          <w:color w:val="000000"/>
          <w:szCs w:val="22"/>
        </w:rPr>
        <w:t>typ B</w:t>
      </w:r>
      <w:r w:rsidR="00E55074" w:rsidRPr="00E55074">
        <w:rPr>
          <w:rFonts w:asciiTheme="minorHAnsi" w:hAnsiTheme="minorHAnsi" w:cs="Calibri"/>
          <w:b/>
          <w:color w:val="000000"/>
          <w:szCs w:val="22"/>
        </w:rPr>
        <w:t>.</w:t>
      </w:r>
    </w:p>
    <w:p w:rsidR="00065DCD" w:rsidRPr="009313DB" w:rsidRDefault="00065DCD" w:rsidP="0035001C">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9D3C56" w:rsidRPr="009313DB" w:rsidRDefault="00065DCD" w:rsidP="0035001C">
      <w:pPr>
        <w:spacing w:before="120" w:after="120" w:line="240" w:lineRule="auto"/>
        <w:jc w:val="both"/>
        <w:rPr>
          <w:rFonts w:asciiTheme="minorHAnsi" w:hAnsiTheme="minorHAnsi"/>
          <w:b/>
          <w:szCs w:val="22"/>
        </w:rPr>
      </w:pPr>
      <w:r w:rsidRPr="009313DB">
        <w:rPr>
          <w:rFonts w:asciiTheme="minorHAnsi" w:eastAsiaTheme="minorHAnsi" w:hAnsiTheme="minorHAnsi" w:cs="Calibri"/>
          <w:szCs w:val="22"/>
          <w:lang w:eastAsia="en-US"/>
        </w:rPr>
        <w:t xml:space="preserve">Wybór wskaźników projektu powinien być powiązany z typem realizowanego przedsięwzięcia </w:t>
      </w:r>
      <w:r w:rsidRPr="009313DB">
        <w:rPr>
          <w:rFonts w:asciiTheme="minorHAnsi" w:eastAsiaTheme="minorHAnsi" w:hAnsiTheme="minorHAnsi" w:cs="Calibri"/>
          <w:szCs w:val="22"/>
          <w:lang w:eastAsia="en-US"/>
        </w:rPr>
        <w:br/>
        <w:t xml:space="preserve">i planowanymi działaniami, które Wnioskodawca zamierza podjąć w ramach projektu. </w:t>
      </w:r>
      <w:r w:rsidRPr="009313DB">
        <w:rPr>
          <w:rFonts w:asciiTheme="minorHAnsi" w:eastAsiaTheme="minorHAnsi" w:hAnsiTheme="minorHAnsi" w:cs="Calibri"/>
          <w:bCs/>
          <w:szCs w:val="22"/>
          <w:lang w:eastAsia="en-US"/>
        </w:rPr>
        <w:t>Do celu głównego projektu Wnioskodawca powinien dobrać odpowiednie wskaźniki, produktu i rezultatu</w:t>
      </w:r>
      <w:r w:rsidRPr="009313DB">
        <w:rPr>
          <w:rFonts w:asciiTheme="minorHAnsi" w:eastAsiaTheme="minorHAnsi" w:hAnsiTheme="minorHAnsi" w:cs="Calibri"/>
          <w:szCs w:val="22"/>
          <w:lang w:eastAsia="en-US"/>
        </w:rPr>
        <w:t xml:space="preserve"> bezpośredniego. Muszą być logicznie powiązane z projektem i spójne.</w:t>
      </w:r>
    </w:p>
    <w:bookmarkEnd w:id="0"/>
    <w:bookmarkEnd w:id="1"/>
    <w:bookmarkEnd w:id="2"/>
    <w:p w:rsidR="00065DCD" w:rsidRPr="009313DB" w:rsidRDefault="00065DCD" w:rsidP="0035001C">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hAnsiTheme="minorHAnsi"/>
          <w:szCs w:val="22"/>
        </w:rPr>
        <w:t>Każdy ze wskaźników powinien posiadać następujące cechy:</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adekwatność – wskaźnik powinien być dostosowany do charakteru projektu oraz oczekiwanych efektów związanych z jego realizacją;</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mierzalność – wskaźnik powinien być kwantyfikowalny, tj. wyrażony w wartościach liczbowych bądź finansowych;</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wiarygodność – wskaźnik powinien być zdefiniowany w taki sposób, aby jego weryfikacja nie powodowała utrudnień;</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dostępność – wskaźnik powinien być łatwy do określenia w wyniku realizacji projektu;</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określony w czasie –</w:t>
      </w:r>
      <w:r w:rsidR="003E1605">
        <w:rPr>
          <w:rFonts w:asciiTheme="minorHAnsi" w:hAnsiTheme="minorHAnsi"/>
          <w:szCs w:val="22"/>
        </w:rPr>
        <w:t xml:space="preserve"> </w:t>
      </w:r>
      <w:r w:rsidRPr="009313DB">
        <w:rPr>
          <w:rFonts w:asciiTheme="minorHAnsi" w:hAnsiTheme="minorHAnsi"/>
          <w:szCs w:val="22"/>
        </w:rPr>
        <w:t>wartość wskaźnika powinna zostać określona w czasie, tj. określony rok osiągnięcia wartości docelowej wskaźnika oraz okres, w którym będzie mierzony wskaźnik</w:t>
      </w:r>
      <w:r w:rsidR="00B87D19" w:rsidRPr="009313DB">
        <w:rPr>
          <w:rFonts w:asciiTheme="minorHAnsi" w:hAnsiTheme="minorHAnsi"/>
          <w:szCs w:val="22"/>
        </w:rPr>
        <w:t>.</w:t>
      </w:r>
    </w:p>
    <w:p w:rsidR="00065DCD" w:rsidRPr="009313DB" w:rsidRDefault="00065DCD" w:rsidP="0035001C">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Odpowiednio we wniosku o dofinansowanie należy określić, w jaki sposób mierzona będzie realizacja ce</w:t>
      </w:r>
      <w:r w:rsidR="00BE3F33" w:rsidRPr="009313DB">
        <w:rPr>
          <w:rFonts w:asciiTheme="minorHAnsi" w:eastAsiaTheme="minorHAnsi" w:hAnsiTheme="minorHAnsi" w:cs="Calibri"/>
          <w:szCs w:val="22"/>
          <w:lang w:eastAsia="en-US"/>
        </w:rPr>
        <w:t>lu poprzez ustalenie wskaźników</w:t>
      </w:r>
      <w:r w:rsidRPr="009313DB">
        <w:rPr>
          <w:rFonts w:asciiTheme="minorHAnsi" w:eastAsiaTheme="minorHAnsi" w:hAnsiTheme="minorHAnsi" w:cs="Calibri"/>
          <w:szCs w:val="22"/>
          <w:lang w:eastAsia="en-US"/>
        </w:rPr>
        <w:t xml:space="preserve">. Należy określić, </w:t>
      </w:r>
      <w:r w:rsidRPr="009313DB">
        <w:rPr>
          <w:rFonts w:asciiTheme="minorHAnsi" w:eastAsiaTheme="minorHAnsi" w:hAnsiTheme="minorHAnsi" w:cs="Calibri"/>
          <w:b/>
          <w:szCs w:val="22"/>
          <w:lang w:eastAsia="en-US"/>
        </w:rPr>
        <w:t>co najmniej jeden podstawowy i mierzalny wskaźnik</w:t>
      </w:r>
      <w:r w:rsidRPr="009313DB">
        <w:rPr>
          <w:rFonts w:asciiTheme="minorHAnsi" w:eastAsiaTheme="minorHAnsi" w:hAnsiTheme="minorHAnsi" w:cs="Calibri"/>
          <w:szCs w:val="22"/>
          <w:lang w:eastAsia="en-US"/>
        </w:rPr>
        <w:t xml:space="preserve">, który w sposób precyzyjny umożliwi weryfikację stopnia realizacji celu głównego projektu. </w:t>
      </w:r>
    </w:p>
    <w:p w:rsidR="00065DCD" w:rsidRPr="009313DB" w:rsidRDefault="00065DCD" w:rsidP="0035001C">
      <w:pPr>
        <w:spacing w:before="120" w:after="120" w:line="240" w:lineRule="auto"/>
        <w:jc w:val="both"/>
        <w:rPr>
          <w:rFonts w:asciiTheme="minorHAnsi" w:hAnsiTheme="minorHAnsi"/>
          <w:b/>
          <w:szCs w:val="22"/>
        </w:rPr>
      </w:pPr>
    </w:p>
    <w:p w:rsidR="00065DCD" w:rsidRPr="009313DB" w:rsidRDefault="00065DCD" w:rsidP="0035001C">
      <w:pPr>
        <w:spacing w:before="120" w:after="120" w:line="240" w:lineRule="auto"/>
        <w:jc w:val="both"/>
        <w:rPr>
          <w:rFonts w:asciiTheme="minorHAnsi" w:hAnsiTheme="minorHAnsi"/>
          <w:b/>
          <w:szCs w:val="22"/>
        </w:rPr>
      </w:pPr>
      <w:r w:rsidRPr="009313DB">
        <w:rPr>
          <w:rFonts w:asciiTheme="minorHAnsi" w:hAnsiTheme="minorHAnsi"/>
          <w:b/>
          <w:szCs w:val="22"/>
        </w:rPr>
        <w:t>W ramach RPO WD 2014-2020 rozróżnia się następujące wskaźniki:</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obligatoryjne – wskaźniki ujęte w RPO WD 2014-2020, SZOOP RPO </w:t>
      </w:r>
      <w:r w:rsidR="003D6A16">
        <w:rPr>
          <w:rFonts w:asciiTheme="minorHAnsi" w:hAnsiTheme="minorHAnsi"/>
          <w:b/>
          <w:szCs w:val="22"/>
        </w:rPr>
        <w:t>W</w:t>
      </w:r>
      <w:r w:rsidRPr="009313DB">
        <w:rPr>
          <w:rFonts w:asciiTheme="minorHAnsi" w:hAnsiTheme="minorHAnsi"/>
          <w:b/>
          <w:szCs w:val="22"/>
        </w:rPr>
        <w:t>D 2014-2020</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horyzontalne </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dodatkowe – wskaźniki projektowe</w:t>
      </w:r>
    </w:p>
    <w:p w:rsidR="00065DCD" w:rsidRPr="009313DB" w:rsidRDefault="00065DCD" w:rsidP="0035001C">
      <w:pPr>
        <w:pStyle w:val="Akapitzlist"/>
        <w:spacing w:before="120" w:after="120" w:line="240" w:lineRule="auto"/>
        <w:ind w:left="567"/>
        <w:jc w:val="both"/>
        <w:rPr>
          <w:rFonts w:asciiTheme="minorHAnsi" w:hAnsiTheme="minorHAnsi"/>
          <w:b/>
          <w:szCs w:val="22"/>
        </w:rPr>
      </w:pPr>
    </w:p>
    <w:p w:rsidR="00065DCD" w:rsidRPr="009313DB" w:rsidRDefault="00065DCD" w:rsidP="0035001C">
      <w:pPr>
        <w:pStyle w:val="Nagwek1"/>
        <w:spacing w:before="120" w:after="120" w:line="240" w:lineRule="auto"/>
        <w:jc w:val="both"/>
        <w:rPr>
          <w:rFonts w:asciiTheme="minorHAnsi" w:hAnsiTheme="minorHAnsi"/>
          <w:sz w:val="22"/>
          <w:szCs w:val="22"/>
        </w:rPr>
      </w:pPr>
      <w:r w:rsidRPr="009313DB">
        <w:rPr>
          <w:rFonts w:asciiTheme="minorHAnsi" w:hAnsiTheme="minorHAnsi"/>
          <w:sz w:val="22"/>
          <w:szCs w:val="22"/>
        </w:rPr>
        <w:t>Wymagania w zakresie wskaźników w projekcie</w:t>
      </w:r>
    </w:p>
    <w:p w:rsidR="00065DCD" w:rsidRPr="009313DB" w:rsidRDefault="00065DCD" w:rsidP="0035001C">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 xml:space="preserve">W ramach wniosku o dofinansowanie projektu Wnioskodawca określa </w:t>
      </w:r>
      <w:r w:rsidRPr="009313DB">
        <w:rPr>
          <w:rFonts w:asciiTheme="minorHAnsi" w:eastAsiaTheme="minorHAnsi" w:hAnsiTheme="minorHAnsi" w:cs="Calibri"/>
          <w:b/>
          <w:bCs/>
          <w:szCs w:val="22"/>
          <w:lang w:eastAsia="en-US"/>
        </w:rPr>
        <w:t>wskaźniki służące pomiarowi działań i celów założonych w projekcie.</w:t>
      </w:r>
      <w:r w:rsidRPr="009313DB">
        <w:rPr>
          <w:rFonts w:asciiTheme="minorHAnsi" w:eastAsiaTheme="minorHAnsi" w:hAnsiTheme="minorHAnsi" w:cs="Calibri"/>
          <w:szCs w:val="22"/>
          <w:lang w:eastAsia="en-US"/>
        </w:rPr>
        <w:t xml:space="preserve"> Wskaźniki w ramach projektu należy określić mając </w:t>
      </w:r>
      <w:r w:rsidR="00BE3F33" w:rsidRPr="009313DB">
        <w:rPr>
          <w:rFonts w:asciiTheme="minorHAnsi" w:eastAsiaTheme="minorHAnsi" w:hAnsiTheme="minorHAnsi" w:cs="Calibri"/>
          <w:szCs w:val="22"/>
          <w:lang w:eastAsia="en-US"/>
        </w:rPr>
        <w:br/>
      </w:r>
      <w:r w:rsidRPr="009313DB">
        <w:rPr>
          <w:rFonts w:asciiTheme="minorHAnsi" w:eastAsiaTheme="minorHAnsi" w:hAnsiTheme="minorHAnsi" w:cs="Calibri"/>
          <w:szCs w:val="22"/>
          <w:lang w:eastAsia="en-US"/>
        </w:rPr>
        <w:t xml:space="preserve">w szczególności na uwadze zapisy niniejszego regulaminu. </w:t>
      </w:r>
    </w:p>
    <w:p w:rsidR="00907A73" w:rsidRPr="009313DB" w:rsidRDefault="00907A73" w:rsidP="0035001C">
      <w:pPr>
        <w:pStyle w:val="Default"/>
        <w:jc w:val="both"/>
        <w:rPr>
          <w:rFonts w:asciiTheme="minorHAnsi" w:hAnsiTheme="minorHAnsi"/>
          <w:b/>
          <w:sz w:val="22"/>
          <w:szCs w:val="22"/>
        </w:rPr>
      </w:pPr>
    </w:p>
    <w:p w:rsidR="00907A73" w:rsidRPr="009313DB" w:rsidRDefault="00907A73" w:rsidP="0035001C">
      <w:pPr>
        <w:pStyle w:val="Default"/>
        <w:jc w:val="both"/>
        <w:rPr>
          <w:rFonts w:asciiTheme="minorHAnsi" w:hAnsiTheme="minorHAnsi"/>
          <w:b/>
          <w:sz w:val="22"/>
          <w:szCs w:val="22"/>
        </w:rPr>
      </w:pPr>
      <w:r w:rsidRPr="009313DB">
        <w:rPr>
          <w:rFonts w:asciiTheme="minorHAnsi" w:hAnsiTheme="minorHAnsi"/>
          <w:b/>
          <w:sz w:val="22"/>
          <w:szCs w:val="22"/>
        </w:rPr>
        <w:t>W przypadku, gdy w ramach danego Działania uwzględniony został wskaźnik z RPO</w:t>
      </w:r>
      <w:r w:rsidR="009C48DB" w:rsidRPr="009313DB">
        <w:rPr>
          <w:rFonts w:asciiTheme="minorHAnsi" w:hAnsiTheme="minorHAnsi"/>
          <w:b/>
          <w:sz w:val="22"/>
          <w:szCs w:val="22"/>
        </w:rPr>
        <w:t xml:space="preserve"> WD 2014-2020</w:t>
      </w:r>
      <w:r w:rsidRPr="009313DB">
        <w:rPr>
          <w:rFonts w:asciiTheme="minorHAnsi" w:hAnsiTheme="minorHAnsi"/>
          <w:b/>
          <w:sz w:val="22"/>
          <w:szCs w:val="22"/>
        </w:rPr>
        <w:t xml:space="preserve"> który odzwierciedla zakres projektu, jego wykazanie dla Wnioskodawcy jest  obligatoryjne. </w:t>
      </w:r>
    </w:p>
    <w:p w:rsidR="00065DCD" w:rsidRPr="009313DB" w:rsidRDefault="008C495E" w:rsidP="0035001C">
      <w:pPr>
        <w:autoSpaceDE w:val="0"/>
        <w:autoSpaceDN w:val="0"/>
        <w:adjustRightInd w:val="0"/>
        <w:spacing w:line="240" w:lineRule="auto"/>
        <w:jc w:val="both"/>
        <w:rPr>
          <w:rFonts w:asciiTheme="minorHAnsi" w:hAnsiTheme="minorHAnsi" w:cs="Arial"/>
          <w:color w:val="000000"/>
          <w:szCs w:val="22"/>
        </w:rPr>
      </w:pPr>
      <w:r w:rsidRPr="009313DB">
        <w:rPr>
          <w:rFonts w:asciiTheme="minorHAnsi" w:hAnsiTheme="minorHAnsi"/>
          <w:b/>
          <w:szCs w:val="22"/>
        </w:rPr>
        <w:t>Wskaźniki produktu</w:t>
      </w:r>
      <w:r w:rsidR="00065DCD" w:rsidRPr="009313DB">
        <w:rPr>
          <w:rFonts w:asciiTheme="minorHAnsi" w:hAnsiTheme="minorHAnsi"/>
          <w:b/>
          <w:szCs w:val="22"/>
        </w:rPr>
        <w:t xml:space="preserve"> </w:t>
      </w:r>
      <w:r w:rsidR="00065DCD" w:rsidRPr="009313DB">
        <w:rPr>
          <w:rFonts w:asciiTheme="minorHAnsi" w:hAnsiTheme="minorHAnsi" w:cs="Arial"/>
          <w:bCs/>
          <w:color w:val="000000"/>
          <w:szCs w:val="22"/>
        </w:rPr>
        <w:t>są to wskaźniki powiązane bezpośrednio z wydatkami ponoszonymi w projekcie</w:t>
      </w:r>
      <w:r w:rsidR="00065DCD" w:rsidRPr="009313DB">
        <w:rPr>
          <w:rFonts w:asciiTheme="minorHAnsi" w:hAnsiTheme="minorHAnsi" w:cs="Arial"/>
          <w:color w:val="000000"/>
          <w:szCs w:val="22"/>
        </w:rPr>
        <w:t xml:space="preserve">, mierzone konkretnymi wielkościami. Liczone są w jednostkach fizycznych lub monetarnych. Wybrane przez Wnioskodawcę wskaźniki muszą być adekwatne do zakresu projektu oraz mają być powiązane </w:t>
      </w:r>
      <w:r w:rsidR="00565D80" w:rsidRPr="009313DB">
        <w:rPr>
          <w:rFonts w:asciiTheme="minorHAnsi" w:hAnsiTheme="minorHAnsi" w:cs="Arial"/>
          <w:color w:val="000000"/>
          <w:szCs w:val="22"/>
        </w:rPr>
        <w:br/>
      </w:r>
      <w:r w:rsidR="00065DCD" w:rsidRPr="009313DB">
        <w:rPr>
          <w:rFonts w:asciiTheme="minorHAnsi" w:hAnsiTheme="minorHAnsi" w:cs="Arial"/>
          <w:color w:val="000000"/>
          <w:szCs w:val="22"/>
        </w:rPr>
        <w:t>z głównymi kategoriami wydatków w projekcie.</w:t>
      </w:r>
    </w:p>
    <w:p w:rsidR="00907A73" w:rsidRPr="009313DB" w:rsidRDefault="00907A73" w:rsidP="0035001C">
      <w:pPr>
        <w:spacing w:line="240" w:lineRule="auto"/>
        <w:jc w:val="both"/>
        <w:rPr>
          <w:rFonts w:asciiTheme="minorHAnsi" w:hAnsiTheme="minorHAnsi" w:cs="Arial"/>
          <w:szCs w:val="22"/>
        </w:rPr>
      </w:pPr>
    </w:p>
    <w:p w:rsidR="00907A73" w:rsidRDefault="00907A73" w:rsidP="0035001C">
      <w:pPr>
        <w:pStyle w:val="Default"/>
        <w:jc w:val="both"/>
        <w:rPr>
          <w:rFonts w:asciiTheme="minorHAnsi" w:hAnsiTheme="minorHAnsi"/>
          <w:sz w:val="22"/>
          <w:szCs w:val="22"/>
        </w:rPr>
      </w:pPr>
      <w:r w:rsidRPr="009313DB">
        <w:rPr>
          <w:rFonts w:asciiTheme="minorHAnsi" w:hAnsiTheme="minorHAnsi"/>
          <w:sz w:val="22"/>
          <w:szCs w:val="22"/>
        </w:rPr>
        <w:lastRenderedPageBreak/>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964B79" w:rsidRPr="009313DB" w:rsidRDefault="00964B79" w:rsidP="00964B7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Wartość bazowa </w:t>
      </w:r>
      <w:r>
        <w:rPr>
          <w:rFonts w:asciiTheme="minorHAnsi" w:hAnsiTheme="minorHAnsi" w:cs="Arial"/>
          <w:b/>
          <w:szCs w:val="22"/>
          <w:u w:val="single"/>
        </w:rPr>
        <w:t xml:space="preserve">to </w:t>
      </w:r>
      <w:r w:rsidRPr="009313DB">
        <w:rPr>
          <w:rFonts w:asciiTheme="minorHAnsi" w:hAnsiTheme="minorHAnsi" w:cs="Arial"/>
          <w:b/>
          <w:szCs w:val="22"/>
          <w:u w:val="single"/>
        </w:rPr>
        <w:t xml:space="preserve">wartość w momencie </w:t>
      </w:r>
      <w:r>
        <w:rPr>
          <w:rFonts w:asciiTheme="minorHAnsi" w:hAnsiTheme="minorHAnsi" w:cs="Arial"/>
          <w:b/>
          <w:szCs w:val="22"/>
          <w:u w:val="single"/>
        </w:rPr>
        <w:t>rozpoczęcia realizacji projektu. W</w:t>
      </w:r>
      <w:r w:rsidRPr="009313DB">
        <w:rPr>
          <w:rFonts w:asciiTheme="minorHAnsi" w:hAnsiTheme="minorHAnsi" w:cs="Arial"/>
          <w:b/>
          <w:szCs w:val="22"/>
          <w:u w:val="single"/>
        </w:rPr>
        <w:t> przypadku każdego wskaźnika powinna być wykazana na poziomie „0”.</w:t>
      </w:r>
    </w:p>
    <w:p w:rsidR="00964B79" w:rsidRPr="009313DB" w:rsidRDefault="00964B79" w:rsidP="0035001C">
      <w:pPr>
        <w:pStyle w:val="Default"/>
        <w:jc w:val="both"/>
        <w:rPr>
          <w:rFonts w:asciiTheme="minorHAnsi" w:hAnsiTheme="minorHAnsi"/>
          <w:sz w:val="22"/>
          <w:szCs w:val="22"/>
        </w:rPr>
      </w:pPr>
    </w:p>
    <w:p w:rsidR="00907A73" w:rsidRPr="009313DB" w:rsidRDefault="00907A73" w:rsidP="0035001C">
      <w:pPr>
        <w:pStyle w:val="Default"/>
        <w:jc w:val="both"/>
        <w:rPr>
          <w:rFonts w:asciiTheme="minorHAnsi" w:hAnsiTheme="minorHAnsi"/>
          <w:sz w:val="22"/>
          <w:szCs w:val="22"/>
        </w:rPr>
      </w:pPr>
      <w:r w:rsidRPr="009313DB">
        <w:rPr>
          <w:rFonts w:asciiTheme="minorHAnsi" w:hAnsiTheme="minorHAnsi"/>
          <w:sz w:val="22"/>
          <w:szCs w:val="22"/>
        </w:rPr>
        <w:t xml:space="preserve">Wartość docelowa dla wskaźnika produktu to wyrażony liczbowo stan danego wskaźnika na moment zakończenia rzeczowej realizacji projektu. </w:t>
      </w:r>
    </w:p>
    <w:p w:rsidR="00907A73" w:rsidRPr="009313DB" w:rsidRDefault="00907A73" w:rsidP="0035001C">
      <w:pPr>
        <w:pStyle w:val="Default"/>
        <w:jc w:val="both"/>
        <w:rPr>
          <w:rFonts w:asciiTheme="minorHAnsi" w:hAnsiTheme="minorHAnsi"/>
          <w:sz w:val="22"/>
          <w:szCs w:val="22"/>
          <w:highlight w:val="yellow"/>
        </w:rPr>
      </w:pPr>
      <w:r w:rsidRPr="009313DB">
        <w:rPr>
          <w:rFonts w:asciiTheme="minorHAnsi" w:hAnsiTheme="minorHAnsi"/>
          <w:sz w:val="22"/>
          <w:szCs w:val="22"/>
        </w:rPr>
        <w:t>Jako źródło informacji o wskaźniku wskazać należy odpowiedni dokument (np. protokół odbioru robót).</w:t>
      </w:r>
      <w:r w:rsidRPr="009313DB">
        <w:rPr>
          <w:rFonts w:asciiTheme="minorHAnsi" w:hAnsiTheme="minorHAnsi"/>
          <w:sz w:val="22"/>
          <w:szCs w:val="22"/>
          <w:highlight w:val="yellow"/>
        </w:rPr>
        <w:t xml:space="preserve"> </w:t>
      </w:r>
    </w:p>
    <w:p w:rsidR="00907A73" w:rsidRPr="009313DB" w:rsidRDefault="00907A73" w:rsidP="0035001C">
      <w:pPr>
        <w:autoSpaceDE w:val="0"/>
        <w:autoSpaceDN w:val="0"/>
        <w:adjustRightInd w:val="0"/>
        <w:spacing w:before="120" w:line="240" w:lineRule="auto"/>
        <w:jc w:val="both"/>
        <w:rPr>
          <w:rFonts w:asciiTheme="minorHAnsi" w:hAnsiTheme="minorHAnsi"/>
          <w:szCs w:val="22"/>
        </w:rPr>
      </w:pPr>
    </w:p>
    <w:p w:rsidR="008C495E" w:rsidRPr="009313DB" w:rsidRDefault="00AA74B6" w:rsidP="0035001C">
      <w:pPr>
        <w:autoSpaceDE w:val="0"/>
        <w:autoSpaceDN w:val="0"/>
        <w:adjustRightInd w:val="0"/>
        <w:spacing w:before="120" w:line="240" w:lineRule="auto"/>
        <w:jc w:val="both"/>
        <w:rPr>
          <w:rFonts w:asciiTheme="minorHAnsi" w:hAnsiTheme="minorHAnsi"/>
          <w:szCs w:val="22"/>
        </w:rPr>
      </w:pPr>
      <w:r w:rsidRPr="009313DB">
        <w:rPr>
          <w:rFonts w:asciiTheme="minorHAnsi" w:hAnsiTheme="minorHAnsi"/>
          <w:szCs w:val="22"/>
        </w:rPr>
        <w:t xml:space="preserve">W ramach Działania </w:t>
      </w:r>
      <w:r w:rsidR="00E604AF">
        <w:rPr>
          <w:rFonts w:asciiTheme="minorHAnsi" w:hAnsiTheme="minorHAnsi"/>
          <w:szCs w:val="22"/>
        </w:rPr>
        <w:t>3.3</w:t>
      </w:r>
      <w:r w:rsidR="008C495E" w:rsidRPr="009313DB">
        <w:rPr>
          <w:rFonts w:asciiTheme="minorHAnsi" w:hAnsiTheme="minorHAnsi"/>
          <w:szCs w:val="22"/>
        </w:rPr>
        <w:t xml:space="preserve"> </w:t>
      </w:r>
      <w:r w:rsidR="003B0F33" w:rsidRPr="009313DB">
        <w:rPr>
          <w:rFonts w:asciiTheme="minorHAnsi" w:hAnsiTheme="minorHAnsi"/>
          <w:szCs w:val="22"/>
        </w:rPr>
        <w:t xml:space="preserve">dla typu projektu </w:t>
      </w:r>
      <w:r w:rsidR="00E604AF">
        <w:rPr>
          <w:rFonts w:asciiTheme="minorHAnsi" w:hAnsiTheme="minorHAnsi"/>
          <w:szCs w:val="22"/>
        </w:rPr>
        <w:t>3.3</w:t>
      </w:r>
      <w:r w:rsidR="003B0F33" w:rsidRPr="009313DB">
        <w:rPr>
          <w:rFonts w:asciiTheme="minorHAnsi" w:hAnsiTheme="minorHAnsi"/>
          <w:szCs w:val="22"/>
        </w:rPr>
        <w:t xml:space="preserve"> </w:t>
      </w:r>
      <w:r w:rsidR="003E1605">
        <w:rPr>
          <w:rFonts w:asciiTheme="minorHAnsi" w:hAnsiTheme="minorHAnsi"/>
          <w:szCs w:val="22"/>
        </w:rPr>
        <w:t>B</w:t>
      </w:r>
      <w:r w:rsidR="003B0F33" w:rsidRPr="009313DB">
        <w:rPr>
          <w:rFonts w:asciiTheme="minorHAnsi" w:hAnsiTheme="minorHAnsi"/>
          <w:szCs w:val="22"/>
        </w:rPr>
        <w:t xml:space="preserve"> </w:t>
      </w:r>
      <w:r w:rsidR="008C495E" w:rsidRPr="009313DB">
        <w:rPr>
          <w:rFonts w:asciiTheme="minorHAnsi" w:hAnsiTheme="minorHAnsi"/>
          <w:szCs w:val="22"/>
        </w:rPr>
        <w:t xml:space="preserve">określono poniższe wskaźniki </w:t>
      </w:r>
      <w:r w:rsidR="008C495E" w:rsidRPr="009313DB">
        <w:rPr>
          <w:rFonts w:asciiTheme="minorHAnsi" w:hAnsiTheme="minorHAnsi"/>
          <w:b/>
          <w:szCs w:val="22"/>
        </w:rPr>
        <w:t>produktu:</w:t>
      </w:r>
    </w:p>
    <w:p w:rsidR="008C495E" w:rsidRPr="009313DB" w:rsidRDefault="008C495E" w:rsidP="0035001C">
      <w:pPr>
        <w:autoSpaceDE w:val="0"/>
        <w:autoSpaceDN w:val="0"/>
        <w:adjustRightInd w:val="0"/>
        <w:spacing w:before="0" w:after="120" w:line="240" w:lineRule="auto"/>
        <w:jc w:val="both"/>
        <w:rPr>
          <w:rFonts w:asciiTheme="minorHAnsi" w:hAnsiTheme="minorHAnsi"/>
          <w:szCs w:val="22"/>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49"/>
        <w:gridCol w:w="4820"/>
        <w:gridCol w:w="1525"/>
      </w:tblGrid>
      <w:tr w:rsidR="00AA4C46" w:rsidRPr="009313DB" w:rsidTr="00AA4C46">
        <w:trPr>
          <w:cantSplit/>
          <w:trHeight w:val="20"/>
          <w:jc w:val="center"/>
        </w:trPr>
        <w:tc>
          <w:tcPr>
            <w:tcW w:w="1127" w:type="pct"/>
            <w:shd w:val="clear" w:color="auto" w:fill="auto"/>
          </w:tcPr>
          <w:p w:rsidR="00065DCD" w:rsidRPr="009313DB" w:rsidRDefault="00065DCD" w:rsidP="0035001C">
            <w:pPr>
              <w:spacing w:before="0" w:line="240" w:lineRule="auto"/>
              <w:jc w:val="center"/>
              <w:rPr>
                <w:rFonts w:asciiTheme="minorHAnsi" w:hAnsiTheme="minorHAnsi"/>
                <w:b/>
                <w:szCs w:val="22"/>
              </w:rPr>
            </w:pPr>
            <w:r w:rsidRPr="009313DB">
              <w:rPr>
                <w:rFonts w:asciiTheme="minorHAnsi" w:hAnsiTheme="minorHAnsi"/>
                <w:b/>
                <w:szCs w:val="22"/>
              </w:rPr>
              <w:t>Nazwa wskaźnika produktu</w:t>
            </w:r>
          </w:p>
        </w:tc>
        <w:tc>
          <w:tcPr>
            <w:tcW w:w="457"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2595" w:type="pct"/>
            <w:shd w:val="clear" w:color="auto" w:fill="auto"/>
          </w:tcPr>
          <w:p w:rsidR="00065DCD" w:rsidRPr="009313DB" w:rsidRDefault="00065DCD" w:rsidP="0035001C">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AA4C46" w:rsidRPr="009313DB" w:rsidTr="00AA4C46">
        <w:trPr>
          <w:cantSplit/>
          <w:trHeight w:val="20"/>
          <w:jc w:val="center"/>
        </w:trPr>
        <w:tc>
          <w:tcPr>
            <w:tcW w:w="1127" w:type="pct"/>
            <w:shd w:val="clear" w:color="auto" w:fill="auto"/>
          </w:tcPr>
          <w:p w:rsidR="00065DCD" w:rsidRPr="009313DB" w:rsidRDefault="005636D4" w:rsidP="0035001C">
            <w:pPr>
              <w:spacing w:before="40" w:after="40" w:line="240" w:lineRule="auto"/>
              <w:rPr>
                <w:rFonts w:asciiTheme="minorHAnsi" w:hAnsiTheme="minorHAnsi"/>
                <w:szCs w:val="22"/>
              </w:rPr>
            </w:pPr>
            <w:r w:rsidRPr="005636D4">
              <w:rPr>
                <w:rFonts w:asciiTheme="minorHAnsi" w:hAnsiTheme="minorHAnsi"/>
                <w:szCs w:val="22"/>
              </w:rPr>
              <w:t>Powierzchnia użytkowa budynków poddanych termomodernizacji</w:t>
            </w:r>
          </w:p>
        </w:tc>
        <w:tc>
          <w:tcPr>
            <w:tcW w:w="457" w:type="pct"/>
          </w:tcPr>
          <w:p w:rsidR="00065DCD" w:rsidRPr="009313DB" w:rsidRDefault="005636D4" w:rsidP="0035001C">
            <w:pPr>
              <w:spacing w:line="240" w:lineRule="auto"/>
              <w:jc w:val="both"/>
              <w:rPr>
                <w:rFonts w:asciiTheme="minorHAnsi" w:hAnsiTheme="minorHAnsi"/>
                <w:szCs w:val="22"/>
              </w:rPr>
            </w:pPr>
            <w:r w:rsidRPr="005636D4">
              <w:rPr>
                <w:rFonts w:asciiTheme="minorHAnsi" w:hAnsiTheme="minorHAnsi"/>
                <w:szCs w:val="22"/>
              </w:rPr>
              <w:t>m2</w:t>
            </w:r>
          </w:p>
        </w:tc>
        <w:tc>
          <w:tcPr>
            <w:tcW w:w="2595" w:type="pct"/>
            <w:shd w:val="clear" w:color="auto" w:fill="auto"/>
          </w:tcPr>
          <w:p w:rsidR="00CD21B1" w:rsidRPr="00CD21B1" w:rsidRDefault="00CD21B1" w:rsidP="00CD21B1">
            <w:pPr>
              <w:autoSpaceDE w:val="0"/>
              <w:autoSpaceDN w:val="0"/>
              <w:adjustRightInd w:val="0"/>
              <w:spacing w:before="0" w:line="240" w:lineRule="auto"/>
              <w:jc w:val="both"/>
              <w:rPr>
                <w:rFonts w:asciiTheme="minorHAnsi" w:hAnsiTheme="minorHAnsi"/>
                <w:szCs w:val="22"/>
              </w:rPr>
            </w:pPr>
            <w:r w:rsidRPr="00CD21B1">
              <w:rPr>
                <w:rFonts w:asciiTheme="minorHAnsi" w:hAnsiTheme="minorHAnsi"/>
                <w:szCs w:val="22"/>
              </w:rPr>
              <w:t>Ilość m2 powierzchni użytkowej poddanej termomodernizacji, gdzie termomodernizacja definiowana jest jako przedsięwzięcia służące poprawie efektywności energetycznej, zgodnie z zapisami:</w:t>
            </w:r>
          </w:p>
          <w:p w:rsidR="00CD21B1"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15 kwietnia 2011 r. o efektywności energetycznej;</w:t>
            </w:r>
          </w:p>
          <w:p w:rsidR="00CD21B1"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Obwieszczenia Ministra Gospodarki z dnia 21 grudnia 2012 r. w sprawie szczegółowego wykazu przedsięwzięć służących poprawie efektywności energetycznej;</w:t>
            </w:r>
          </w:p>
          <w:p w:rsidR="00065DCD"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21 listopada 2008 r. o wspieraniu termomodernizacji i remontów.</w:t>
            </w:r>
          </w:p>
        </w:tc>
        <w:tc>
          <w:tcPr>
            <w:tcW w:w="821" w:type="pct"/>
          </w:tcPr>
          <w:p w:rsidR="00065DCD" w:rsidRPr="009313DB" w:rsidRDefault="00274058"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RPO WD 2014-2020</w:t>
            </w:r>
          </w:p>
        </w:tc>
      </w:tr>
      <w:tr w:rsidR="00AA4C46" w:rsidRPr="009313DB" w:rsidTr="00AA4C46">
        <w:trPr>
          <w:cantSplit/>
          <w:trHeight w:val="20"/>
          <w:jc w:val="center"/>
        </w:trPr>
        <w:tc>
          <w:tcPr>
            <w:tcW w:w="1127" w:type="pct"/>
            <w:shd w:val="clear" w:color="auto" w:fill="auto"/>
          </w:tcPr>
          <w:p w:rsidR="00065DCD" w:rsidRPr="009313DB" w:rsidRDefault="000A5B4F" w:rsidP="00076457">
            <w:pPr>
              <w:spacing w:before="40" w:after="40" w:line="240" w:lineRule="auto"/>
              <w:rPr>
                <w:rFonts w:asciiTheme="minorHAnsi" w:hAnsiTheme="minorHAnsi"/>
                <w:szCs w:val="22"/>
              </w:rPr>
            </w:pPr>
            <w:r w:rsidRPr="000A5B4F">
              <w:rPr>
                <w:rFonts w:asciiTheme="minorHAnsi" w:hAnsiTheme="minorHAnsi"/>
                <w:szCs w:val="22"/>
              </w:rPr>
              <w:lastRenderedPageBreak/>
              <w:t>Liczba gospodarstw domowych z lepszą klasą zużycia energii</w:t>
            </w:r>
          </w:p>
        </w:tc>
        <w:tc>
          <w:tcPr>
            <w:tcW w:w="457" w:type="pct"/>
          </w:tcPr>
          <w:p w:rsidR="00065DCD" w:rsidRPr="009313DB" w:rsidRDefault="000A5B4F"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C742CC" w:rsidRDefault="00C742CC" w:rsidP="00C742CC">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Tłumaczenie robocze:</w:t>
            </w:r>
          </w:p>
          <w:p w:rsidR="00C742CC" w:rsidRDefault="00C742CC" w:rsidP="00C742CC">
            <w:pPr>
              <w:autoSpaceDE w:val="0"/>
              <w:autoSpaceDN w:val="0"/>
              <w:adjustRightInd w:val="0"/>
              <w:spacing w:before="0" w:line="240" w:lineRule="auto"/>
              <w:jc w:val="both"/>
              <w:rPr>
                <w:rFonts w:asciiTheme="minorHAnsi" w:hAnsiTheme="minorHAnsi"/>
                <w:szCs w:val="22"/>
              </w:rPr>
            </w:pPr>
            <w:r w:rsidRPr="00C742CC">
              <w:rPr>
                <w:rFonts w:asciiTheme="minorHAnsi" w:hAnsiTheme="minorHAnsi"/>
                <w:szCs w:val="22"/>
              </w:rPr>
              <w:t>Liczba gospodarstw domowych w lepszej klasie energety</w:t>
            </w:r>
            <w:r w:rsidR="00A74EB6">
              <w:rPr>
                <w:rFonts w:asciiTheme="minorHAnsi" w:hAnsiTheme="minorHAnsi"/>
                <w:szCs w:val="22"/>
              </w:rPr>
              <w:t>cznej - patrz dyrektywa 2010/31</w:t>
            </w:r>
            <w:r w:rsidRPr="00C742CC">
              <w:rPr>
                <w:rFonts w:asciiTheme="minorHAnsi" w:hAnsiTheme="minorHAnsi"/>
                <w:szCs w:val="22"/>
              </w:rPr>
              <w:t>/UE</w:t>
            </w:r>
            <w:r w:rsidR="00946F29">
              <w:rPr>
                <w:rFonts w:asciiTheme="minorHAnsi" w:hAnsiTheme="minorHAnsi"/>
                <w:szCs w:val="22"/>
              </w:rPr>
              <w:t xml:space="preserve"> w sprawie charakterystyki energetycznej budynków</w:t>
            </w:r>
            <w:r w:rsidRPr="00C742CC">
              <w:rPr>
                <w:rFonts w:asciiTheme="minorHAnsi" w:hAnsiTheme="minorHAnsi"/>
                <w:szCs w:val="22"/>
              </w:rPr>
              <w:t xml:space="preserve">. </w:t>
            </w:r>
            <w:r w:rsidR="00FE4793">
              <w:rPr>
                <w:rFonts w:asciiTheme="minorHAnsi" w:hAnsiTheme="minorHAnsi"/>
                <w:szCs w:val="22"/>
              </w:rPr>
              <w:t xml:space="preserve">Poprawa </w:t>
            </w:r>
            <w:r w:rsidR="00946F29">
              <w:rPr>
                <w:rFonts w:asciiTheme="minorHAnsi" w:hAnsiTheme="minorHAnsi"/>
                <w:szCs w:val="22"/>
              </w:rPr>
              <w:t>klasy energetycznej</w:t>
            </w:r>
            <w:r w:rsidRPr="00C742CC">
              <w:rPr>
                <w:rFonts w:asciiTheme="minorHAnsi" w:hAnsiTheme="minorHAnsi"/>
                <w:szCs w:val="22"/>
              </w:rPr>
              <w:t xml:space="preserve"> musi być bezpośrednią konsekwencją realizacji projektu.</w:t>
            </w:r>
          </w:p>
          <w:p w:rsidR="00B50FCA" w:rsidRPr="00B50FCA" w:rsidRDefault="00B50FCA" w:rsidP="00B50FCA">
            <w:pPr>
              <w:autoSpaceDE w:val="0"/>
              <w:autoSpaceDN w:val="0"/>
              <w:adjustRightInd w:val="0"/>
              <w:spacing w:before="0" w:line="240" w:lineRule="auto"/>
              <w:jc w:val="both"/>
              <w:rPr>
                <w:rFonts w:asciiTheme="minorHAnsi" w:hAnsiTheme="minorHAnsi"/>
                <w:b/>
                <w:szCs w:val="22"/>
              </w:rPr>
            </w:pPr>
            <w:r w:rsidRPr="00B50FCA">
              <w:rPr>
                <w:rFonts w:asciiTheme="minorHAnsi" w:hAnsiTheme="minorHAnsi"/>
                <w:b/>
                <w:szCs w:val="22"/>
              </w:rPr>
              <w:t>Uwaga IZ RPO WD 2014 – 2020:</w:t>
            </w:r>
          </w:p>
          <w:p w:rsidR="00B50FCA" w:rsidRPr="00C742CC" w:rsidRDefault="00B50FCA" w:rsidP="00B50FCA">
            <w:pPr>
              <w:autoSpaceDE w:val="0"/>
              <w:autoSpaceDN w:val="0"/>
              <w:adjustRightInd w:val="0"/>
              <w:spacing w:before="0" w:line="240" w:lineRule="auto"/>
              <w:jc w:val="both"/>
              <w:rPr>
                <w:rFonts w:asciiTheme="minorHAnsi" w:hAnsiTheme="minorHAnsi"/>
                <w:szCs w:val="22"/>
              </w:rPr>
            </w:pPr>
            <w:r w:rsidRPr="00B50FCA">
              <w:rPr>
                <w:rFonts w:asciiTheme="minorHAnsi" w:hAnsiTheme="minorHAnsi"/>
                <w:szCs w:val="22"/>
              </w:rPr>
              <w:t>jako gospodarstwa domowe w lepszej klasie energetycznej należy rozumieć mieszkania w budynku, dla którego sporządzono świadectwo charakterystyki energetycznej przed i po realizacji projektu. Efektem realizacji projektu jest zmniejszenie zapotrzebowania na energię w budynku, co wynika z porównania świadectw. Minimalny, wymagany w regulaminie poziom oszczędności energii (jeśli został osiągnięty) należy traktować jako poprawę klasy energetycznej budynku. Nie są wymagane świadectwa dla poszczególnych mieszkań lecz dla budynku. Świadectwo charakterystyki energetycznej budynku sporządzane przed rozpoczęciem realizacji projektu nie wymaga rejestracji w centralnym rejestrze charakterystyki energetycznej budynków (chyba że wynika to z przepisów prawa). Świadectwo sporządzane po realizacji projektu wymaga rejestracji w centralnym rejestrze charakterystyki energetycznej budynków.</w:t>
            </w:r>
          </w:p>
          <w:p w:rsidR="00C742CC" w:rsidRPr="00C742CC" w:rsidRDefault="00C742CC" w:rsidP="001F60DA">
            <w:pPr>
              <w:autoSpaceDE w:val="0"/>
              <w:autoSpaceDN w:val="0"/>
              <w:adjustRightInd w:val="0"/>
              <w:spacing w:line="240" w:lineRule="auto"/>
              <w:jc w:val="both"/>
              <w:rPr>
                <w:rFonts w:asciiTheme="minorHAnsi" w:hAnsiTheme="minorHAnsi"/>
                <w:szCs w:val="22"/>
              </w:rPr>
            </w:pPr>
            <w:proofErr w:type="spellStart"/>
            <w:r w:rsidRPr="00C742CC">
              <w:rPr>
                <w:rFonts w:asciiTheme="minorHAnsi" w:hAnsiTheme="minorHAnsi"/>
                <w:szCs w:val="22"/>
              </w:rPr>
              <w:t>Number</w:t>
            </w:r>
            <w:proofErr w:type="spellEnd"/>
            <w:r w:rsidRPr="00C742CC">
              <w:rPr>
                <w:rFonts w:asciiTheme="minorHAnsi" w:hAnsiTheme="minorHAnsi"/>
                <w:szCs w:val="22"/>
              </w:rPr>
              <w:t xml:space="preserve"> of </w:t>
            </w:r>
            <w:proofErr w:type="spellStart"/>
            <w:r w:rsidRPr="00C742CC">
              <w:rPr>
                <w:rFonts w:asciiTheme="minorHAnsi" w:hAnsiTheme="minorHAnsi"/>
                <w:szCs w:val="22"/>
              </w:rPr>
              <w:t>households</w:t>
            </w:r>
            <w:proofErr w:type="spellEnd"/>
            <w:r w:rsidRPr="00C742CC">
              <w:rPr>
                <w:rFonts w:asciiTheme="minorHAnsi" w:hAnsiTheme="minorHAnsi"/>
                <w:szCs w:val="22"/>
              </w:rPr>
              <w:t xml:space="preserve"> in </w:t>
            </w:r>
            <w:proofErr w:type="spellStart"/>
            <w:r w:rsidRPr="00C742CC">
              <w:rPr>
                <w:rFonts w:asciiTheme="minorHAnsi" w:hAnsiTheme="minorHAnsi"/>
                <w:szCs w:val="22"/>
              </w:rPr>
              <w:t>improved</w:t>
            </w:r>
            <w:proofErr w:type="spellEnd"/>
            <w:r w:rsidRPr="00C742CC">
              <w:rPr>
                <w:rFonts w:asciiTheme="minorHAnsi" w:hAnsiTheme="minorHAnsi"/>
                <w:szCs w:val="22"/>
              </w:rPr>
              <w:t xml:space="preserve"> </w:t>
            </w:r>
            <w:proofErr w:type="spellStart"/>
            <w:r w:rsidRPr="00C742CC">
              <w:rPr>
                <w:rFonts w:asciiTheme="minorHAnsi" w:hAnsiTheme="minorHAnsi"/>
                <w:szCs w:val="22"/>
              </w:rPr>
              <w:t>energy</w:t>
            </w:r>
            <w:proofErr w:type="spellEnd"/>
            <w:r w:rsidRPr="00C742CC">
              <w:rPr>
                <w:rFonts w:asciiTheme="minorHAnsi" w:hAnsiTheme="minorHAnsi"/>
                <w:szCs w:val="22"/>
              </w:rPr>
              <w:t xml:space="preserve"> </w:t>
            </w:r>
            <w:proofErr w:type="spellStart"/>
            <w:r w:rsidRPr="00C742CC">
              <w:rPr>
                <w:rFonts w:asciiTheme="minorHAnsi" w:hAnsiTheme="minorHAnsi"/>
                <w:szCs w:val="22"/>
              </w:rPr>
              <w:t>class</w:t>
            </w:r>
            <w:proofErr w:type="spellEnd"/>
            <w:r w:rsidRPr="00C742CC">
              <w:rPr>
                <w:rFonts w:asciiTheme="minorHAnsi" w:hAnsiTheme="minorHAnsi"/>
                <w:szCs w:val="22"/>
              </w:rPr>
              <w:t xml:space="preserve"> – </w:t>
            </w:r>
            <w:proofErr w:type="spellStart"/>
            <w:r w:rsidRPr="00C742CC">
              <w:rPr>
                <w:rFonts w:asciiTheme="minorHAnsi" w:hAnsiTheme="minorHAnsi"/>
                <w:szCs w:val="22"/>
              </w:rPr>
              <w:t>see</w:t>
            </w:r>
            <w:proofErr w:type="spellEnd"/>
            <w:r w:rsidRPr="00C742CC">
              <w:rPr>
                <w:rFonts w:asciiTheme="minorHAnsi" w:hAnsiTheme="minorHAnsi"/>
                <w:szCs w:val="22"/>
              </w:rPr>
              <w:t xml:space="preserve"> Directive 2010/31/EU. </w:t>
            </w:r>
            <w:proofErr w:type="spellStart"/>
            <w:r w:rsidRPr="00C742CC">
              <w:rPr>
                <w:rFonts w:asciiTheme="minorHAnsi" w:hAnsiTheme="minorHAnsi"/>
                <w:szCs w:val="22"/>
              </w:rPr>
              <w:t>Improved</w:t>
            </w:r>
            <w:proofErr w:type="spellEnd"/>
            <w:r w:rsidRPr="00C742CC">
              <w:rPr>
                <w:rFonts w:asciiTheme="minorHAnsi" w:hAnsiTheme="minorHAnsi"/>
                <w:szCs w:val="22"/>
              </w:rPr>
              <w:t xml:space="preserve"> </w:t>
            </w:r>
            <w:proofErr w:type="spellStart"/>
            <w:r w:rsidRPr="00C742CC">
              <w:rPr>
                <w:rFonts w:asciiTheme="minorHAnsi" w:hAnsiTheme="minorHAnsi"/>
                <w:szCs w:val="22"/>
              </w:rPr>
              <w:t>class</w:t>
            </w:r>
            <w:proofErr w:type="spellEnd"/>
            <w:r w:rsidRPr="00C742CC">
              <w:rPr>
                <w:rFonts w:asciiTheme="minorHAnsi" w:hAnsiTheme="minorHAnsi"/>
                <w:szCs w:val="22"/>
              </w:rPr>
              <w:t xml:space="preserve"> </w:t>
            </w:r>
            <w:proofErr w:type="spellStart"/>
            <w:r w:rsidRPr="00C742CC">
              <w:rPr>
                <w:rFonts w:asciiTheme="minorHAnsi" w:hAnsiTheme="minorHAnsi"/>
                <w:szCs w:val="22"/>
              </w:rPr>
              <w:t>must</w:t>
            </w:r>
            <w:proofErr w:type="spellEnd"/>
            <w:r w:rsidRPr="00C742CC">
              <w:rPr>
                <w:rFonts w:asciiTheme="minorHAnsi" w:hAnsiTheme="minorHAnsi"/>
                <w:szCs w:val="22"/>
              </w:rPr>
              <w:t xml:space="preserve"> be the </w:t>
            </w:r>
            <w:proofErr w:type="spellStart"/>
            <w:r w:rsidRPr="00C742CC">
              <w:rPr>
                <w:rFonts w:asciiTheme="minorHAnsi" w:hAnsiTheme="minorHAnsi"/>
                <w:szCs w:val="22"/>
              </w:rPr>
              <w:t>direct</w:t>
            </w:r>
            <w:proofErr w:type="spellEnd"/>
            <w:r w:rsidRPr="00C742CC">
              <w:rPr>
                <w:rFonts w:asciiTheme="minorHAnsi" w:hAnsiTheme="minorHAnsi"/>
                <w:szCs w:val="22"/>
              </w:rPr>
              <w:t xml:space="preserve"> </w:t>
            </w:r>
            <w:proofErr w:type="spellStart"/>
            <w:r w:rsidRPr="00C742CC">
              <w:rPr>
                <w:rFonts w:asciiTheme="minorHAnsi" w:hAnsiTheme="minorHAnsi"/>
                <w:szCs w:val="22"/>
              </w:rPr>
              <w:t>consequence</w:t>
            </w:r>
            <w:proofErr w:type="spellEnd"/>
            <w:r w:rsidRPr="00C742CC">
              <w:rPr>
                <w:rFonts w:asciiTheme="minorHAnsi" w:hAnsiTheme="minorHAnsi"/>
                <w:szCs w:val="22"/>
              </w:rPr>
              <w:t xml:space="preserve"> of the </w:t>
            </w:r>
            <w:proofErr w:type="spellStart"/>
            <w:r w:rsidRPr="00C742CC">
              <w:rPr>
                <w:rFonts w:asciiTheme="minorHAnsi" w:hAnsiTheme="minorHAnsi"/>
                <w:szCs w:val="22"/>
              </w:rPr>
              <w:t>project</w:t>
            </w:r>
            <w:proofErr w:type="spellEnd"/>
            <w:r w:rsidRPr="00C742CC">
              <w:rPr>
                <w:rFonts w:asciiTheme="minorHAnsi" w:hAnsiTheme="minorHAnsi"/>
                <w:szCs w:val="22"/>
              </w:rPr>
              <w:t xml:space="preserve"> </w:t>
            </w:r>
            <w:proofErr w:type="spellStart"/>
            <w:r w:rsidRPr="00C742CC">
              <w:rPr>
                <w:rFonts w:asciiTheme="minorHAnsi" w:hAnsiTheme="minorHAnsi"/>
                <w:szCs w:val="22"/>
              </w:rPr>
              <w:t>completion</w:t>
            </w:r>
            <w:proofErr w:type="spellEnd"/>
            <w:r w:rsidRPr="00C742CC">
              <w:rPr>
                <w:rFonts w:asciiTheme="minorHAnsi" w:hAnsiTheme="minorHAnsi"/>
                <w:szCs w:val="22"/>
              </w:rPr>
              <w:t>.</w:t>
            </w:r>
          </w:p>
          <w:p w:rsidR="00065DCD" w:rsidRPr="009313DB" w:rsidRDefault="00C742CC" w:rsidP="00C742CC">
            <w:pPr>
              <w:autoSpaceDE w:val="0"/>
              <w:autoSpaceDN w:val="0"/>
              <w:adjustRightInd w:val="0"/>
              <w:spacing w:before="0" w:line="240" w:lineRule="auto"/>
              <w:jc w:val="both"/>
              <w:rPr>
                <w:rFonts w:asciiTheme="minorHAnsi" w:hAnsiTheme="minorHAnsi"/>
                <w:szCs w:val="22"/>
              </w:rPr>
            </w:pPr>
            <w:r w:rsidRPr="00C742CC">
              <w:rPr>
                <w:rFonts w:asciiTheme="minorHAnsi" w:hAnsiTheme="minorHAnsi"/>
                <w:szCs w:val="22"/>
              </w:rPr>
              <w:t xml:space="preserve">The </w:t>
            </w:r>
            <w:proofErr w:type="spellStart"/>
            <w:r w:rsidRPr="00C742CC">
              <w:rPr>
                <w:rFonts w:asciiTheme="minorHAnsi" w:hAnsiTheme="minorHAnsi"/>
                <w:szCs w:val="22"/>
              </w:rPr>
              <w:t>classification</w:t>
            </w:r>
            <w:proofErr w:type="spellEnd"/>
            <w:r w:rsidRPr="00C742CC">
              <w:rPr>
                <w:rFonts w:asciiTheme="minorHAnsi" w:hAnsiTheme="minorHAnsi"/>
                <w:szCs w:val="22"/>
              </w:rPr>
              <w:t xml:space="preserve"> system </w:t>
            </w:r>
            <w:proofErr w:type="spellStart"/>
            <w:r w:rsidRPr="00C742CC">
              <w:rPr>
                <w:rFonts w:asciiTheme="minorHAnsi" w:hAnsiTheme="minorHAnsi"/>
                <w:szCs w:val="22"/>
              </w:rPr>
              <w:t>is</w:t>
            </w:r>
            <w:proofErr w:type="spellEnd"/>
            <w:r w:rsidRPr="00C742CC">
              <w:rPr>
                <w:rFonts w:asciiTheme="minorHAnsi" w:hAnsiTheme="minorHAnsi"/>
                <w:szCs w:val="22"/>
              </w:rPr>
              <w:t xml:space="preserve"> </w:t>
            </w:r>
            <w:proofErr w:type="spellStart"/>
            <w:r w:rsidRPr="00C742CC">
              <w:rPr>
                <w:rFonts w:asciiTheme="minorHAnsi" w:hAnsiTheme="minorHAnsi"/>
                <w:szCs w:val="22"/>
              </w:rPr>
              <w:t>governed</w:t>
            </w:r>
            <w:proofErr w:type="spellEnd"/>
            <w:r w:rsidRPr="00C742CC">
              <w:rPr>
                <w:rFonts w:asciiTheme="minorHAnsi" w:hAnsiTheme="minorHAnsi"/>
                <w:szCs w:val="22"/>
              </w:rPr>
              <w:t xml:space="preserve"> by </w:t>
            </w:r>
            <w:proofErr w:type="spellStart"/>
            <w:r w:rsidRPr="00C742CC">
              <w:rPr>
                <w:rFonts w:asciiTheme="minorHAnsi" w:hAnsiTheme="minorHAnsi"/>
                <w:szCs w:val="22"/>
              </w:rPr>
              <w:t>directive</w:t>
            </w:r>
            <w:proofErr w:type="spellEnd"/>
            <w:r w:rsidRPr="00C742CC">
              <w:rPr>
                <w:rFonts w:asciiTheme="minorHAnsi" w:hAnsiTheme="minorHAnsi"/>
                <w:szCs w:val="22"/>
              </w:rPr>
              <w:t xml:space="preserve"> (2010/31/EU), with a deadline to </w:t>
            </w:r>
            <w:proofErr w:type="spellStart"/>
            <w:r w:rsidRPr="00C742CC">
              <w:rPr>
                <w:rFonts w:asciiTheme="minorHAnsi" w:hAnsiTheme="minorHAnsi"/>
                <w:szCs w:val="22"/>
              </w:rPr>
              <w:t>work</w:t>
            </w:r>
            <w:proofErr w:type="spellEnd"/>
            <w:r w:rsidRPr="00C742CC">
              <w:rPr>
                <w:rFonts w:asciiTheme="minorHAnsi" w:hAnsiTheme="minorHAnsi"/>
                <w:szCs w:val="22"/>
              </w:rPr>
              <w:t xml:space="preserve"> out </w:t>
            </w:r>
            <w:proofErr w:type="spellStart"/>
            <w:r w:rsidRPr="00C742CC">
              <w:rPr>
                <w:rFonts w:asciiTheme="minorHAnsi" w:hAnsiTheme="minorHAnsi"/>
                <w:szCs w:val="22"/>
              </w:rPr>
              <w:t>more</w:t>
            </w:r>
            <w:proofErr w:type="spellEnd"/>
            <w:r w:rsidRPr="00C742CC">
              <w:rPr>
                <w:rFonts w:asciiTheme="minorHAnsi" w:hAnsiTheme="minorHAnsi"/>
                <w:szCs w:val="22"/>
              </w:rPr>
              <w:t xml:space="preserve"> </w:t>
            </w:r>
            <w:proofErr w:type="spellStart"/>
            <w:r w:rsidRPr="00C742CC">
              <w:rPr>
                <w:rFonts w:asciiTheme="minorHAnsi" w:hAnsiTheme="minorHAnsi"/>
                <w:szCs w:val="22"/>
              </w:rPr>
              <w:t>detailed</w:t>
            </w:r>
            <w:proofErr w:type="spellEnd"/>
            <w:r w:rsidRPr="00C742CC">
              <w:rPr>
                <w:rFonts w:asciiTheme="minorHAnsi" w:hAnsiTheme="minorHAnsi"/>
                <w:szCs w:val="22"/>
              </w:rPr>
              <w:t xml:space="preserve"> </w:t>
            </w:r>
            <w:proofErr w:type="spellStart"/>
            <w:r w:rsidRPr="00C742CC">
              <w:rPr>
                <w:rFonts w:asciiTheme="minorHAnsi" w:hAnsiTheme="minorHAnsi"/>
                <w:szCs w:val="22"/>
              </w:rPr>
              <w:t>rules</w:t>
            </w:r>
            <w:proofErr w:type="spellEnd"/>
            <w:r w:rsidRPr="00C742CC">
              <w:rPr>
                <w:rFonts w:asciiTheme="minorHAnsi" w:hAnsiTheme="minorHAnsi"/>
                <w:szCs w:val="22"/>
              </w:rPr>
              <w:t xml:space="preserve"> by 30 </w:t>
            </w:r>
            <w:proofErr w:type="spellStart"/>
            <w:r w:rsidRPr="00C742CC">
              <w:rPr>
                <w:rFonts w:asciiTheme="minorHAnsi" w:hAnsiTheme="minorHAnsi"/>
                <w:szCs w:val="22"/>
              </w:rPr>
              <w:t>June</w:t>
            </w:r>
            <w:proofErr w:type="spellEnd"/>
            <w:r w:rsidRPr="00C742CC">
              <w:rPr>
                <w:rFonts w:asciiTheme="minorHAnsi" w:hAnsiTheme="minorHAnsi"/>
                <w:szCs w:val="22"/>
              </w:rPr>
              <w:t xml:space="preserve"> 2011 and </w:t>
            </w:r>
            <w:proofErr w:type="spellStart"/>
            <w:r w:rsidRPr="00C742CC">
              <w:rPr>
                <w:rFonts w:asciiTheme="minorHAnsi" w:hAnsiTheme="minorHAnsi"/>
                <w:szCs w:val="22"/>
              </w:rPr>
              <w:t>transposition</w:t>
            </w:r>
            <w:proofErr w:type="spellEnd"/>
            <w:r w:rsidRPr="00C742CC">
              <w:rPr>
                <w:rFonts w:asciiTheme="minorHAnsi" w:hAnsiTheme="minorHAnsi"/>
                <w:szCs w:val="22"/>
              </w:rPr>
              <w:t>/</w:t>
            </w:r>
            <w:proofErr w:type="spellStart"/>
            <w:r w:rsidRPr="00C742CC">
              <w:rPr>
                <w:rFonts w:asciiTheme="minorHAnsi" w:hAnsiTheme="minorHAnsi"/>
                <w:szCs w:val="22"/>
              </w:rPr>
              <w:t>application</w:t>
            </w:r>
            <w:proofErr w:type="spellEnd"/>
            <w:r w:rsidRPr="00C742CC">
              <w:rPr>
                <w:rFonts w:asciiTheme="minorHAnsi" w:hAnsiTheme="minorHAnsi"/>
                <w:szCs w:val="22"/>
              </w:rPr>
              <w:t xml:space="preserve"> deadline of mid-2013 </w:t>
            </w:r>
            <w:proofErr w:type="spellStart"/>
            <w:r w:rsidRPr="00C742CC">
              <w:rPr>
                <w:rFonts w:asciiTheme="minorHAnsi" w:hAnsiTheme="minorHAnsi"/>
                <w:szCs w:val="22"/>
              </w:rPr>
              <w:t>latest</w:t>
            </w:r>
            <w:proofErr w:type="spellEnd"/>
            <w:r w:rsidRPr="00C742CC">
              <w:rPr>
                <w:rFonts w:asciiTheme="minorHAnsi" w:hAnsiTheme="minorHAnsi"/>
                <w:szCs w:val="22"/>
              </w:rPr>
              <w:t>.</w:t>
            </w:r>
          </w:p>
        </w:tc>
        <w:tc>
          <w:tcPr>
            <w:tcW w:w="821" w:type="pct"/>
          </w:tcPr>
          <w:p w:rsidR="00065DCD" w:rsidRPr="009313DB" w:rsidRDefault="007A6F3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RPO WD 2014-2020</w:t>
            </w:r>
          </w:p>
        </w:tc>
      </w:tr>
      <w:tr w:rsidR="00274058" w:rsidRPr="009313DB" w:rsidTr="00AA4C46">
        <w:trPr>
          <w:cantSplit/>
          <w:trHeight w:val="20"/>
          <w:jc w:val="center"/>
        </w:trPr>
        <w:tc>
          <w:tcPr>
            <w:tcW w:w="1127" w:type="pct"/>
            <w:shd w:val="clear" w:color="auto" w:fill="auto"/>
          </w:tcPr>
          <w:p w:rsidR="00274058" w:rsidRPr="009313DB" w:rsidRDefault="00997AFA" w:rsidP="0035001C">
            <w:pPr>
              <w:spacing w:before="40" w:after="40" w:line="240" w:lineRule="auto"/>
              <w:rPr>
                <w:rFonts w:asciiTheme="minorHAnsi" w:hAnsiTheme="minorHAnsi"/>
                <w:szCs w:val="22"/>
              </w:rPr>
            </w:pPr>
            <w:r w:rsidRPr="00997AFA">
              <w:rPr>
                <w:rFonts w:asciiTheme="minorHAnsi" w:hAnsiTheme="minorHAnsi"/>
                <w:szCs w:val="22"/>
              </w:rPr>
              <w:lastRenderedPageBreak/>
              <w:t>Liczba zmodernizowanych energetycznie budynków</w:t>
            </w:r>
          </w:p>
        </w:tc>
        <w:tc>
          <w:tcPr>
            <w:tcW w:w="457" w:type="pct"/>
          </w:tcPr>
          <w:p w:rsidR="00274058" w:rsidRPr="009313DB"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Wskaźnik mierzy liczbę zmodernizowanych energetycznie budynków w wyniku realizacji projektu.</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Modernizacja – obejmuje przebudowę, remont oraz rozbudowę budynków w celu dokonania modernizacji urządzeń energetycznych.</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Remont – wykonywanie w istniejącym obiekcie budowlanym robót budowlanych polegających </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na odtworzeniu stanu pierwotnego, a niestanowiących bieżącej konserwacji, przy czym dopuszcza się stosowanie wyrobów budowlanych innych niż użyto w stanie pierwotnym. </w:t>
            </w:r>
          </w:p>
          <w:p w:rsidR="00274058" w:rsidRPr="009313DB"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Rozbudowa – w budownictwie rodzaj budowy, w wyniku którego powstaje nowa część istniejącego już obiektu budowlanego.</w:t>
            </w:r>
          </w:p>
        </w:tc>
        <w:tc>
          <w:tcPr>
            <w:tcW w:w="821" w:type="pct"/>
          </w:tcPr>
          <w:p w:rsidR="00274058" w:rsidRPr="009313DB" w:rsidRDefault="00DF4DD2"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t>Liczba wybudowanych jednostek wytwarzania energii elektrycznej z OZE</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D902BB" w:rsidRPr="00D902BB" w:rsidRDefault="00D902BB" w:rsidP="00D902BB">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Jednostka wytwarzania energii elektrycznej obejmuje:</w:t>
            </w:r>
          </w:p>
          <w:p w:rsidR="00997AFA" w:rsidRDefault="00D902BB" w:rsidP="00D902BB">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z OZE.</w:t>
            </w:r>
          </w:p>
          <w:p w:rsidR="00D902BB" w:rsidRDefault="00D902BB" w:rsidP="00D902BB">
            <w:pPr>
              <w:autoSpaceDE w:val="0"/>
              <w:autoSpaceDN w:val="0"/>
              <w:adjustRightInd w:val="0"/>
              <w:spacing w:before="0" w:line="240" w:lineRule="auto"/>
              <w:jc w:val="both"/>
              <w:rPr>
                <w:rFonts w:asciiTheme="minorHAnsi" w:hAnsiTheme="minorHAnsi"/>
                <w:szCs w:val="22"/>
              </w:rPr>
            </w:pPr>
          </w:p>
          <w:p w:rsidR="00D902BB" w:rsidRPr="009313DB" w:rsidRDefault="00CB485D" w:rsidP="00CB485D">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001962F1" w:rsidRPr="001962F1">
              <w:rPr>
                <w:rFonts w:asciiTheme="minorHAnsi" w:hAnsiTheme="minorHAnsi"/>
                <w:szCs w:val="22"/>
              </w:rPr>
              <w:t>z dnia 20 lutego 2015 r.</w:t>
            </w:r>
            <w:r>
              <w:rPr>
                <w:rFonts w:asciiTheme="minorHAnsi" w:hAnsiTheme="minorHAnsi"/>
                <w:szCs w:val="22"/>
              </w:rPr>
              <w:t xml:space="preserve"> </w:t>
            </w:r>
            <w:r w:rsidR="001962F1" w:rsidRPr="001962F1">
              <w:rPr>
                <w:rFonts w:asciiTheme="minorHAnsi" w:hAnsiTheme="minorHAnsi"/>
                <w:szCs w:val="22"/>
              </w:rPr>
              <w:t>o odnawialnych źródłach energii</w:t>
            </w:r>
            <w:r w:rsidR="00897B25">
              <w:rPr>
                <w:rFonts w:asciiTheme="minorHAnsi" w:hAnsiTheme="minorHAnsi"/>
                <w:szCs w:val="22"/>
              </w:rPr>
              <w:t>.</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lastRenderedPageBreak/>
              <w:t>Liczba wybudowanych jednostek wytwarzania energii cieplnej z OZE</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897B25" w:rsidRPr="00897B25" w:rsidRDefault="00897B25" w:rsidP="00897B25">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 xml:space="preserve">Jednostka wytwarzania energii cieplnej obejmuje: </w:t>
            </w:r>
          </w:p>
          <w:p w:rsidR="00997AFA" w:rsidRDefault="00897B25" w:rsidP="00897B25">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cieplnej z OZE.</w:t>
            </w:r>
          </w:p>
          <w:p w:rsidR="00897B25" w:rsidRDefault="00897B25" w:rsidP="00897B25">
            <w:pPr>
              <w:autoSpaceDE w:val="0"/>
              <w:autoSpaceDN w:val="0"/>
              <w:adjustRightInd w:val="0"/>
              <w:spacing w:before="0" w:line="240" w:lineRule="auto"/>
              <w:jc w:val="both"/>
              <w:rPr>
                <w:rFonts w:asciiTheme="minorHAnsi" w:hAnsiTheme="minorHAnsi"/>
                <w:szCs w:val="22"/>
              </w:rPr>
            </w:pPr>
          </w:p>
          <w:p w:rsidR="00897B25" w:rsidRPr="009313DB" w:rsidRDefault="00897B25" w:rsidP="00897B25">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Pr="001962F1">
              <w:rPr>
                <w:rFonts w:asciiTheme="minorHAnsi" w:hAnsiTheme="minorHAnsi"/>
                <w:szCs w:val="22"/>
              </w:rPr>
              <w:t>z dnia 20 lutego 2015 r.</w:t>
            </w:r>
            <w:r>
              <w:rPr>
                <w:rFonts w:asciiTheme="minorHAnsi" w:hAnsiTheme="minorHAnsi"/>
                <w:szCs w:val="22"/>
              </w:rPr>
              <w:t xml:space="preserve"> </w:t>
            </w:r>
            <w:r w:rsidRPr="001962F1">
              <w:rPr>
                <w:rFonts w:asciiTheme="minorHAnsi" w:hAnsiTheme="minorHAnsi"/>
                <w:szCs w:val="22"/>
              </w:rPr>
              <w:t>o odnawialnych źródłach energii</w:t>
            </w:r>
            <w:r>
              <w:rPr>
                <w:rFonts w:asciiTheme="minorHAnsi" w:hAnsiTheme="minorHAnsi"/>
                <w:szCs w:val="22"/>
              </w:rPr>
              <w:t>.</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t>Liczba zmodernizowanych źródeł ciepła</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997AFA" w:rsidRPr="009313DB" w:rsidRDefault="00CF16E5" w:rsidP="0035001C">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Liczba zmodernizowanych w wyniku realizacji projektu źródeł ciepła.</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DF3CC5" w:rsidRPr="009313DB" w:rsidTr="00AA4C46">
        <w:trPr>
          <w:cantSplit/>
          <w:trHeight w:val="20"/>
          <w:jc w:val="center"/>
        </w:trPr>
        <w:tc>
          <w:tcPr>
            <w:tcW w:w="1127" w:type="pct"/>
            <w:shd w:val="clear" w:color="auto" w:fill="auto"/>
          </w:tcPr>
          <w:p w:rsidR="00DF3CC5" w:rsidRPr="009313DB" w:rsidRDefault="009C48DB" w:rsidP="0035001C">
            <w:pPr>
              <w:spacing w:before="40" w:after="40" w:line="240" w:lineRule="auto"/>
              <w:rPr>
                <w:rFonts w:asciiTheme="minorHAnsi" w:hAnsiTheme="minorHAnsi"/>
                <w:szCs w:val="22"/>
              </w:rPr>
            </w:pPr>
            <w:r w:rsidRPr="009313DB">
              <w:rPr>
                <w:rFonts w:asciiTheme="minorHAnsi" w:eastAsiaTheme="minorHAnsi" w:hAnsiTheme="minorHAnsi"/>
                <w:szCs w:val="22"/>
                <w:lang w:eastAsia="en-US"/>
              </w:rPr>
              <w:t xml:space="preserve"> </w:t>
            </w:r>
            <w:r w:rsidR="00DF3CC5" w:rsidRPr="009313DB">
              <w:rPr>
                <w:rFonts w:asciiTheme="minorHAnsi" w:eastAsiaTheme="minorHAnsi" w:hAnsiTheme="minorHAnsi"/>
                <w:szCs w:val="22"/>
                <w:lang w:eastAsia="en-US"/>
              </w:rPr>
              <w:t>Liczba obiektów dostosowanych do potrzeb osób z niepełnosprawnościami</w:t>
            </w:r>
          </w:p>
        </w:tc>
        <w:tc>
          <w:tcPr>
            <w:tcW w:w="457" w:type="pct"/>
          </w:tcPr>
          <w:p w:rsidR="00DF3CC5" w:rsidRPr="009313DB" w:rsidRDefault="00DF3CC5" w:rsidP="0035001C">
            <w:pPr>
              <w:spacing w:line="240" w:lineRule="auto"/>
              <w:jc w:val="both"/>
              <w:rPr>
                <w:rFonts w:asciiTheme="minorHAnsi" w:hAnsiTheme="minorHAnsi"/>
                <w:szCs w:val="22"/>
              </w:rPr>
            </w:pPr>
            <w:r w:rsidRPr="009313DB">
              <w:rPr>
                <w:rFonts w:asciiTheme="minorHAnsi" w:eastAsiaTheme="minorHAnsi" w:hAnsiTheme="minorHAnsi"/>
                <w:szCs w:val="22"/>
                <w:lang w:eastAsia="en-US"/>
              </w:rPr>
              <w:t>szt.</w:t>
            </w:r>
          </w:p>
        </w:tc>
        <w:tc>
          <w:tcPr>
            <w:tcW w:w="2595" w:type="pct"/>
            <w:shd w:val="clear" w:color="auto" w:fill="auto"/>
          </w:tcPr>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Należy podać liczbę obiektów, a nie sprzętów, urządzeń itp., w które obiekty zaopatrzono.</w:t>
            </w:r>
          </w:p>
          <w:p w:rsidR="00DF3CC5" w:rsidRPr="009313DB" w:rsidRDefault="00DF3CC5" w:rsidP="0035001C">
            <w:pPr>
              <w:autoSpaceDE w:val="0"/>
              <w:autoSpaceDN w:val="0"/>
              <w:adjustRightInd w:val="0"/>
              <w:spacing w:before="0" w:line="240" w:lineRule="auto"/>
              <w:jc w:val="both"/>
              <w:rPr>
                <w:rFonts w:asciiTheme="minorHAnsi" w:hAnsiTheme="minorHAnsi"/>
                <w:szCs w:val="22"/>
              </w:rPr>
            </w:pPr>
            <w:r w:rsidRPr="009313DB">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21" w:type="pct"/>
          </w:tcPr>
          <w:p w:rsidR="00DF3CC5" w:rsidRPr="009313DB" w:rsidRDefault="00AA4C46"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F30433" w:rsidRPr="009313DB" w:rsidTr="00AA4C46">
        <w:trPr>
          <w:cantSplit/>
          <w:trHeight w:val="20"/>
          <w:jc w:val="center"/>
        </w:trPr>
        <w:tc>
          <w:tcPr>
            <w:tcW w:w="1127" w:type="pct"/>
            <w:shd w:val="clear" w:color="auto" w:fill="auto"/>
          </w:tcPr>
          <w:p w:rsidR="00F30433" w:rsidRPr="009313DB" w:rsidRDefault="00F30433" w:rsidP="0035001C">
            <w:pPr>
              <w:spacing w:before="40" w:after="40" w:line="240" w:lineRule="auto"/>
              <w:rPr>
                <w:rFonts w:asciiTheme="minorHAnsi" w:eastAsiaTheme="minorHAnsi" w:hAnsiTheme="minorHAnsi"/>
                <w:szCs w:val="22"/>
                <w:lang w:eastAsia="en-US"/>
              </w:rPr>
            </w:pPr>
            <w:r w:rsidRPr="00F30433">
              <w:rPr>
                <w:rFonts w:asciiTheme="minorHAnsi" w:eastAsiaTheme="minorHAnsi" w:hAnsiTheme="minorHAnsi"/>
                <w:szCs w:val="22"/>
                <w:lang w:eastAsia="en-US"/>
              </w:rPr>
              <w:lastRenderedPageBreak/>
              <w:t>Liczba podmiotów wykorzystujących technologie informacyjno-komunikacyjne (TIK</w:t>
            </w:r>
            <w:r>
              <w:rPr>
                <w:rFonts w:asciiTheme="minorHAnsi" w:eastAsiaTheme="minorHAnsi" w:hAnsiTheme="minorHAnsi"/>
                <w:szCs w:val="22"/>
                <w:lang w:eastAsia="en-US"/>
              </w:rPr>
              <w:t>)</w:t>
            </w:r>
          </w:p>
        </w:tc>
        <w:tc>
          <w:tcPr>
            <w:tcW w:w="457" w:type="pct"/>
          </w:tcPr>
          <w:p w:rsidR="00F30433" w:rsidRPr="009313DB" w:rsidRDefault="00F30433" w:rsidP="0035001C">
            <w:pPr>
              <w:spacing w:line="240" w:lineRule="auto"/>
              <w:jc w:val="both"/>
              <w:rPr>
                <w:rFonts w:asciiTheme="minorHAnsi" w:eastAsiaTheme="minorHAnsi" w:hAnsiTheme="minorHAnsi"/>
                <w:szCs w:val="22"/>
                <w:lang w:eastAsia="en-US"/>
              </w:rPr>
            </w:pPr>
            <w:r>
              <w:rPr>
                <w:rFonts w:asciiTheme="minorHAnsi" w:eastAsiaTheme="minorHAnsi" w:hAnsiTheme="minorHAnsi"/>
                <w:szCs w:val="22"/>
                <w:lang w:eastAsia="en-US"/>
              </w:rPr>
              <w:t>szt.</w:t>
            </w:r>
          </w:p>
        </w:tc>
        <w:tc>
          <w:tcPr>
            <w:tcW w:w="2595" w:type="pct"/>
            <w:shd w:val="clear" w:color="auto" w:fill="auto"/>
          </w:tcPr>
          <w:p w:rsidR="00F30433" w:rsidRPr="00F30433" w:rsidRDefault="00F30433" w:rsidP="00F30433">
            <w:pPr>
              <w:spacing w:before="0" w:line="240" w:lineRule="auto"/>
              <w:jc w:val="both"/>
              <w:rPr>
                <w:rFonts w:asciiTheme="minorHAnsi" w:eastAsiaTheme="minorHAnsi" w:hAnsiTheme="minorHAnsi"/>
                <w:szCs w:val="22"/>
                <w:lang w:eastAsia="en-US"/>
              </w:rPr>
            </w:pPr>
            <w:r w:rsidRPr="00F30433">
              <w:rPr>
                <w:rFonts w:asciiTheme="minorHAnsi" w:eastAsiaTheme="minorHAnsi" w:hAnsiTheme="minorHAnsi"/>
                <w:szCs w:val="22"/>
                <w:lang w:eastAsia="en-US"/>
              </w:rPr>
              <w:t>celu realizacji projektu zainwestowały w technologie informacyjno-komunikacyjne, a w przypadku projektów edukacyjno-szkoleniowych, również podmiotów, które podjęły działania upowszechniające wykorzystanie TIK.</w:t>
            </w:r>
          </w:p>
          <w:p w:rsidR="00F30433" w:rsidRPr="00F30433" w:rsidRDefault="00F30433" w:rsidP="00F30433">
            <w:pPr>
              <w:spacing w:before="0" w:line="240" w:lineRule="auto"/>
              <w:jc w:val="both"/>
              <w:rPr>
                <w:rFonts w:asciiTheme="minorHAnsi" w:eastAsiaTheme="minorHAnsi" w:hAnsiTheme="minorHAnsi"/>
                <w:szCs w:val="22"/>
                <w:lang w:eastAsia="en-US"/>
              </w:rPr>
            </w:pPr>
          </w:p>
          <w:p w:rsidR="00F30433" w:rsidRPr="00F30433" w:rsidRDefault="00F30433" w:rsidP="00F30433">
            <w:pPr>
              <w:spacing w:before="0" w:line="240" w:lineRule="auto"/>
              <w:jc w:val="both"/>
              <w:rPr>
                <w:rFonts w:asciiTheme="minorHAnsi" w:eastAsiaTheme="minorHAnsi" w:hAnsiTheme="minorHAnsi"/>
                <w:szCs w:val="22"/>
                <w:lang w:eastAsia="en-US"/>
              </w:rPr>
            </w:pPr>
            <w:r w:rsidRPr="00F30433">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F30433" w:rsidRPr="00F30433" w:rsidRDefault="00F30433" w:rsidP="00F30433">
            <w:pPr>
              <w:spacing w:before="0" w:line="240" w:lineRule="auto"/>
              <w:jc w:val="both"/>
              <w:rPr>
                <w:rFonts w:asciiTheme="minorHAnsi" w:eastAsiaTheme="minorHAnsi" w:hAnsiTheme="minorHAnsi"/>
                <w:szCs w:val="22"/>
                <w:lang w:eastAsia="en-US"/>
              </w:rPr>
            </w:pPr>
          </w:p>
          <w:p w:rsidR="00F30433" w:rsidRPr="00F30433" w:rsidRDefault="00F30433" w:rsidP="00F30433">
            <w:pPr>
              <w:spacing w:before="0" w:line="240" w:lineRule="auto"/>
              <w:jc w:val="both"/>
              <w:rPr>
                <w:rFonts w:asciiTheme="minorHAnsi" w:eastAsiaTheme="minorHAnsi" w:hAnsiTheme="minorHAnsi"/>
                <w:szCs w:val="22"/>
                <w:lang w:eastAsia="en-US"/>
              </w:rPr>
            </w:pPr>
            <w:r w:rsidRPr="00F30433">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F30433" w:rsidRPr="00F30433" w:rsidRDefault="00F30433" w:rsidP="00F30433">
            <w:pPr>
              <w:spacing w:before="0" w:line="240" w:lineRule="auto"/>
              <w:jc w:val="both"/>
              <w:rPr>
                <w:rFonts w:asciiTheme="minorHAnsi" w:eastAsiaTheme="minorHAnsi" w:hAnsiTheme="minorHAnsi"/>
                <w:szCs w:val="22"/>
                <w:lang w:eastAsia="en-US"/>
              </w:rPr>
            </w:pPr>
          </w:p>
          <w:p w:rsidR="00F30433" w:rsidRPr="009313DB" w:rsidRDefault="00F30433" w:rsidP="00F30433">
            <w:pPr>
              <w:spacing w:before="0" w:line="240" w:lineRule="auto"/>
              <w:jc w:val="both"/>
              <w:rPr>
                <w:rFonts w:asciiTheme="minorHAnsi" w:eastAsiaTheme="minorHAnsi" w:hAnsiTheme="minorHAnsi"/>
                <w:szCs w:val="22"/>
                <w:lang w:eastAsia="en-US"/>
              </w:rPr>
            </w:pPr>
            <w:r w:rsidRPr="00F30433">
              <w:rPr>
                <w:rFonts w:asciiTheme="minorHAnsi" w:eastAsiaTheme="minorHAnsi" w:hAnsiTheme="minorHAnsi"/>
                <w:szCs w:val="22"/>
                <w:lang w:eastAsia="en-US"/>
              </w:rPr>
              <w:t xml:space="preserve">W przypadku, </w:t>
            </w:r>
            <w:r w:rsidR="002D2A79">
              <w:rPr>
                <w:rFonts w:asciiTheme="minorHAnsi" w:eastAsiaTheme="minorHAnsi" w:hAnsiTheme="minorHAnsi"/>
                <w:szCs w:val="22"/>
                <w:lang w:eastAsia="en-US"/>
              </w:rPr>
              <w:t>gdy beneficjentem pozostaje jed</w:t>
            </w:r>
            <w:r w:rsidRPr="00F30433">
              <w:rPr>
                <w:rFonts w:asciiTheme="minorHAnsi" w:eastAsiaTheme="minorHAnsi" w:hAnsiTheme="minorHAnsi"/>
                <w:szCs w:val="22"/>
                <w:lang w:eastAsia="en-US"/>
              </w:rPr>
              <w:t>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21" w:type="pct"/>
          </w:tcPr>
          <w:p w:rsidR="00F30433" w:rsidRPr="009313DB" w:rsidRDefault="00F30433" w:rsidP="0035001C">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horyzontalny</w:t>
            </w:r>
          </w:p>
        </w:tc>
      </w:tr>
      <w:tr w:rsidR="00DF3CC5" w:rsidRPr="009313DB" w:rsidTr="00AA4C46">
        <w:trPr>
          <w:cantSplit/>
          <w:trHeight w:val="20"/>
          <w:jc w:val="center"/>
        </w:trPr>
        <w:tc>
          <w:tcPr>
            <w:tcW w:w="1127" w:type="pct"/>
            <w:shd w:val="clear" w:color="auto" w:fill="auto"/>
          </w:tcPr>
          <w:p w:rsidR="00DF3CC5" w:rsidRPr="009313DB" w:rsidRDefault="00DF3CC5" w:rsidP="0035001C">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szCs w:val="22"/>
                <w:lang w:eastAsia="en-US"/>
              </w:rPr>
              <w:lastRenderedPageBreak/>
              <w:t>Liczba osób objętych szkoleniami / doradztwem w zakresie kompetencji cyfrowych</w:t>
            </w:r>
            <w:r w:rsidR="003C16D4">
              <w:rPr>
                <w:rFonts w:asciiTheme="minorHAnsi" w:eastAsiaTheme="minorHAnsi" w:hAnsiTheme="minorHAnsi"/>
                <w:szCs w:val="22"/>
                <w:lang w:eastAsia="en-US"/>
              </w:rPr>
              <w:t xml:space="preserve"> O/K/M</w:t>
            </w:r>
          </w:p>
        </w:tc>
        <w:tc>
          <w:tcPr>
            <w:tcW w:w="457" w:type="pct"/>
          </w:tcPr>
          <w:p w:rsidR="00DF3CC5" w:rsidRPr="009313DB" w:rsidRDefault="00DF3CC5" w:rsidP="0035001C">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os.</w:t>
            </w:r>
          </w:p>
        </w:tc>
        <w:tc>
          <w:tcPr>
            <w:tcW w:w="2595" w:type="pct"/>
            <w:shd w:val="clear" w:color="auto" w:fill="auto"/>
          </w:tcPr>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313DB">
              <w:rPr>
                <w:rFonts w:asciiTheme="minorHAnsi" w:eastAsiaTheme="minorHAnsi" w:hAnsiTheme="minorHAnsi"/>
                <w:szCs w:val="22"/>
                <w:lang w:eastAsia="en-US"/>
              </w:rPr>
              <w:t>internetu</w:t>
            </w:r>
            <w:proofErr w:type="spellEnd"/>
            <w:r w:rsidRPr="009313DB">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9313DB">
              <w:rPr>
                <w:rFonts w:asciiTheme="minorHAnsi" w:eastAsiaTheme="minorHAnsi" w:hAnsiTheme="minorHAnsi"/>
                <w:szCs w:val="22"/>
                <w:lang w:eastAsia="en-US"/>
              </w:rPr>
              <w:t>financingu</w:t>
            </w:r>
            <w:proofErr w:type="spellEnd"/>
            <w:r w:rsidRPr="009313DB">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21" w:type="pct"/>
          </w:tcPr>
          <w:p w:rsidR="00DF3CC5" w:rsidRPr="009313DB" w:rsidRDefault="00AA4C46"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C538A8" w:rsidRPr="009313DB" w:rsidTr="00AA4C46">
        <w:trPr>
          <w:cantSplit/>
          <w:trHeight w:val="20"/>
          <w:jc w:val="center"/>
        </w:trPr>
        <w:tc>
          <w:tcPr>
            <w:tcW w:w="1127" w:type="pct"/>
            <w:shd w:val="clear" w:color="auto" w:fill="auto"/>
          </w:tcPr>
          <w:p w:rsidR="00C538A8" w:rsidRPr="009313DB" w:rsidRDefault="00C538A8" w:rsidP="0035001C">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cs="Arial"/>
                <w:color w:val="000000"/>
                <w:szCs w:val="22"/>
                <w:lang w:eastAsia="en-US"/>
              </w:rPr>
              <w:lastRenderedPageBreak/>
              <w:t>Liczba projektów, w których sfinansowano koszty racjonalnych usprawnień dla osób z niepełnosprawnościami</w:t>
            </w:r>
          </w:p>
        </w:tc>
        <w:tc>
          <w:tcPr>
            <w:tcW w:w="457" w:type="pct"/>
          </w:tcPr>
          <w:p w:rsidR="00C538A8" w:rsidRPr="009313DB" w:rsidRDefault="00C538A8" w:rsidP="0035001C">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szt.</w:t>
            </w:r>
          </w:p>
        </w:tc>
        <w:tc>
          <w:tcPr>
            <w:tcW w:w="2595" w:type="pct"/>
            <w:shd w:val="clear" w:color="auto" w:fill="auto"/>
          </w:tcPr>
          <w:p w:rsidR="00C538A8" w:rsidRPr="009313DB" w:rsidRDefault="00C538A8" w:rsidP="006166F8">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Racjonalne usprawnienie oznacza konieczne i odpowiednie zmiany oraz dostosowania, nie nakładające nieproporcjonalnego lub nadmiernego obciążenia,</w:t>
            </w:r>
            <w:r>
              <w:rPr>
                <w:rFonts w:asciiTheme="minorHAnsi" w:eastAsiaTheme="minorHAnsi" w:hAnsiTheme="minorHAnsi" w:cs="Arial"/>
                <w:color w:val="000000"/>
                <w:szCs w:val="22"/>
                <w:lang w:eastAsia="en-US"/>
              </w:rPr>
              <w:t xml:space="preserve"> jeśli jest potrzebne w konkretnym przypadku, </w:t>
            </w:r>
            <w:r w:rsidRPr="009313DB">
              <w:rPr>
                <w:rFonts w:asciiTheme="minorHAnsi" w:eastAsiaTheme="minorHAnsi" w:hAnsiTheme="minorHAnsi" w:cs="Arial"/>
                <w:color w:val="000000"/>
                <w:szCs w:val="22"/>
                <w:lang w:eastAsia="en-US"/>
              </w:rPr>
              <w:t>w celu zapewnienia osobom z niepełnosprawnościami możliwości korzystania z wszelkich praw człowieka i podstawowych wolności oraz ich wykonywania na zasadzie równości z innymi osobami</w:t>
            </w:r>
            <w:r>
              <w:rPr>
                <w:rFonts w:asciiTheme="minorHAnsi" w:eastAsiaTheme="minorHAnsi" w:hAnsiTheme="minorHAnsi" w:cs="Arial"/>
                <w:color w:val="000000"/>
                <w:szCs w:val="22"/>
                <w:lang w:eastAsia="en-US"/>
              </w:rPr>
              <w:t xml:space="preserve"> (zgodnie z art. 2 Konwencji o prawach osób niepełnosprawnych)</w:t>
            </w:r>
            <w:r w:rsidRPr="009313DB">
              <w:rPr>
                <w:rFonts w:asciiTheme="minorHAnsi" w:eastAsiaTheme="minorHAnsi" w:hAnsiTheme="minorHAnsi" w:cs="Arial"/>
                <w:color w:val="000000"/>
                <w:szCs w:val="22"/>
                <w:lang w:eastAsia="en-US"/>
              </w:rPr>
              <w:t xml:space="preserve">. Wskaźnik mierzony w momencie rozliczenia wydatku związanego z racjonalnymi usprawnieniami. </w:t>
            </w:r>
          </w:p>
          <w:p w:rsidR="00C538A8" w:rsidRPr="009313DB" w:rsidRDefault="00C538A8" w:rsidP="006166F8">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Przykłady racjonalnych usprawnień: tłumacz języka migowego, transport niskopodłogowy, dostosowanie infrastruktury (nie tylko budynku</w:t>
            </w:r>
            <w:r>
              <w:rPr>
                <w:rFonts w:asciiTheme="minorHAnsi" w:eastAsiaTheme="minorHAnsi" w:hAnsiTheme="minorHAnsi" w:cs="Arial"/>
                <w:color w:val="000000"/>
                <w:szCs w:val="22"/>
                <w:lang w:eastAsia="en-US"/>
              </w:rPr>
              <w:t>,</w:t>
            </w:r>
            <w:r w:rsidRPr="009313DB">
              <w:rPr>
                <w:rFonts w:asciiTheme="minorHAnsi" w:eastAsiaTheme="minorHAnsi" w:hAnsiTheme="minorHAnsi" w:cs="Arial"/>
                <w:color w:val="000000"/>
                <w:szCs w:val="22"/>
                <w:lang w:eastAsia="en-US"/>
              </w:rPr>
              <w:t xml:space="preserve"> ale też </w:t>
            </w:r>
            <w:r>
              <w:rPr>
                <w:rFonts w:asciiTheme="minorHAnsi" w:eastAsiaTheme="minorHAnsi" w:hAnsiTheme="minorHAnsi" w:cs="Arial"/>
                <w:color w:val="000000"/>
                <w:szCs w:val="22"/>
                <w:lang w:eastAsia="en-US"/>
              </w:rPr>
              <w:t xml:space="preserve">sprzętu np. </w:t>
            </w:r>
            <w:r w:rsidRPr="009313DB">
              <w:rPr>
                <w:rFonts w:asciiTheme="minorHAnsi" w:eastAsiaTheme="minorHAnsi" w:hAnsiTheme="minorHAnsi" w:cs="Arial"/>
                <w:color w:val="000000"/>
                <w:szCs w:val="22"/>
                <w:lang w:eastAsia="en-US"/>
              </w:rPr>
              <w:t>komputer</w:t>
            </w:r>
            <w:r>
              <w:rPr>
                <w:rFonts w:asciiTheme="minorHAnsi" w:eastAsiaTheme="minorHAnsi" w:hAnsiTheme="minorHAnsi" w:cs="Arial"/>
                <w:color w:val="000000"/>
                <w:szCs w:val="22"/>
                <w:lang w:eastAsia="en-US"/>
              </w:rPr>
              <w:t>, czytnik dla osób niewidzących)</w:t>
            </w:r>
            <w:r w:rsidRPr="009313DB">
              <w:rPr>
                <w:rFonts w:asciiTheme="minorHAnsi" w:eastAsiaTheme="minorHAnsi" w:hAnsiTheme="minorHAnsi" w:cs="Arial"/>
                <w:color w:val="000000"/>
                <w:szCs w:val="22"/>
                <w:lang w:eastAsia="en-US"/>
              </w:rPr>
              <w:t xml:space="preserve">, osoby asystujące, odpowiednie dostosowanie wyżywienia. </w:t>
            </w:r>
          </w:p>
          <w:p w:rsidR="00C538A8" w:rsidRDefault="00C538A8" w:rsidP="006166F8">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Wybór wskaźnika dot. finansowania racjonalnych usprawnień powoduje konieczność wskazania również wskaźnika: liczba obiektów dostosowanych do osób z nieprawidłowościami.</w:t>
            </w:r>
          </w:p>
          <w:p w:rsidR="00C538A8" w:rsidRDefault="00C538A8" w:rsidP="006166F8">
            <w:pPr>
              <w:spacing w:before="0" w:line="240" w:lineRule="auto"/>
              <w:jc w:val="both"/>
              <w:rPr>
                <w:rFonts w:asciiTheme="minorHAnsi" w:eastAsiaTheme="minorHAnsi" w:hAnsiTheme="minorHAnsi" w:cs="Arial"/>
                <w:color w:val="000000"/>
                <w:szCs w:val="22"/>
                <w:lang w:eastAsia="en-US"/>
              </w:rPr>
            </w:pPr>
          </w:p>
          <w:p w:rsidR="00C538A8" w:rsidRDefault="00C538A8" w:rsidP="006166F8">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Definicja na podstawie: Agenda działań na rzecz równości szans i niedyskryminacji osób z nieprawidłowościami w ramac</w:t>
            </w:r>
            <w:r w:rsidR="0029753F">
              <w:rPr>
                <w:rFonts w:asciiTheme="minorHAnsi" w:eastAsiaTheme="minorHAnsi" w:hAnsiTheme="minorHAnsi" w:cs="Arial"/>
                <w:color w:val="000000"/>
                <w:szCs w:val="22"/>
                <w:lang w:eastAsia="en-US"/>
              </w:rPr>
              <w:t>h</w:t>
            </w:r>
            <w:r>
              <w:rPr>
                <w:rFonts w:asciiTheme="minorHAnsi" w:eastAsiaTheme="minorHAnsi" w:hAnsiTheme="minorHAnsi" w:cs="Arial"/>
                <w:color w:val="000000"/>
                <w:szCs w:val="22"/>
                <w:lang w:eastAsia="en-US"/>
              </w:rPr>
              <w:t xml:space="preserve"> funduszy unijnych 2014-2020</w:t>
            </w:r>
          </w:p>
          <w:p w:rsidR="00C538A8" w:rsidRPr="009313DB" w:rsidRDefault="00C538A8" w:rsidP="006166F8">
            <w:pPr>
              <w:spacing w:before="0" w:line="240" w:lineRule="auto"/>
              <w:jc w:val="both"/>
              <w:rPr>
                <w:rFonts w:asciiTheme="minorHAnsi" w:eastAsiaTheme="minorHAnsi" w:hAnsiTheme="minorHAnsi"/>
                <w:szCs w:val="22"/>
                <w:lang w:eastAsia="en-US"/>
              </w:rPr>
            </w:pPr>
          </w:p>
        </w:tc>
        <w:tc>
          <w:tcPr>
            <w:tcW w:w="821" w:type="pct"/>
          </w:tcPr>
          <w:p w:rsidR="00C538A8" w:rsidRPr="009313DB" w:rsidRDefault="00C538A8"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bl>
    <w:p w:rsidR="009415D4" w:rsidRPr="00442BB0" w:rsidRDefault="009415D4" w:rsidP="009415D4">
      <w:pPr>
        <w:spacing w:line="240" w:lineRule="auto"/>
        <w:jc w:val="both"/>
        <w:rPr>
          <w:rFonts w:asciiTheme="minorHAnsi" w:hAnsiTheme="minorHAnsi"/>
          <w:b/>
          <w:szCs w:val="22"/>
        </w:rPr>
      </w:pPr>
      <w:r w:rsidRPr="00442BB0">
        <w:rPr>
          <w:rFonts w:asciiTheme="minorHAnsi" w:hAnsiTheme="minorHAnsi"/>
          <w:b/>
          <w:szCs w:val="22"/>
        </w:rPr>
        <w:t xml:space="preserve">Zgodnie z załącznikiem nr 2 „Lista Wskaźników do wykonania celów pośrednich oraz końcowych” do Porozumienia nr DEF-Z/986/15 z dnia 9 czerwca 2015 zawartego pomiędzy Województwem Dolnośląskim a Gminą Wrocław pełniąca funkcję Instytucji Pośredniczącej, wskaźniki produktu weryfikowane na etapie oceny zgodności ze Strategią ZIT </w:t>
      </w:r>
      <w:proofErr w:type="spellStart"/>
      <w:r w:rsidRPr="00442BB0">
        <w:rPr>
          <w:rFonts w:asciiTheme="minorHAnsi" w:hAnsiTheme="minorHAnsi"/>
          <w:b/>
          <w:szCs w:val="22"/>
        </w:rPr>
        <w:t>WrOF</w:t>
      </w:r>
      <w:proofErr w:type="spellEnd"/>
      <w:r w:rsidRPr="00442BB0">
        <w:rPr>
          <w:rFonts w:asciiTheme="minorHAnsi" w:hAnsiTheme="minorHAnsi"/>
          <w:b/>
          <w:szCs w:val="22"/>
        </w:rPr>
        <w:t xml:space="preserve"> są tożsame z wyżej wskazanymi tj.:</w:t>
      </w:r>
    </w:p>
    <w:p w:rsidR="00CD5974" w:rsidRPr="00442BB0" w:rsidRDefault="00CD5974" w:rsidP="00442BB0">
      <w:pPr>
        <w:pStyle w:val="Akapitzlist"/>
        <w:numPr>
          <w:ilvl w:val="0"/>
          <w:numId w:val="8"/>
        </w:numPr>
        <w:spacing w:before="0" w:line="240" w:lineRule="auto"/>
        <w:jc w:val="both"/>
        <w:rPr>
          <w:rFonts w:asciiTheme="minorHAnsi" w:hAnsiTheme="minorHAnsi"/>
          <w:szCs w:val="22"/>
        </w:rPr>
      </w:pPr>
      <w:r w:rsidRPr="00442BB0">
        <w:rPr>
          <w:rFonts w:asciiTheme="minorHAnsi" w:hAnsiTheme="minorHAnsi"/>
          <w:szCs w:val="22"/>
        </w:rPr>
        <w:t>Powierzchnia użytkowa budynków poddanych termomodernizacji</w:t>
      </w:r>
    </w:p>
    <w:p w:rsidR="00CD5974" w:rsidRPr="00442BB0" w:rsidRDefault="00442BB0" w:rsidP="00442BB0">
      <w:pPr>
        <w:pStyle w:val="Akapitzlist"/>
        <w:numPr>
          <w:ilvl w:val="0"/>
          <w:numId w:val="8"/>
        </w:numPr>
        <w:spacing w:before="0" w:line="240" w:lineRule="auto"/>
        <w:jc w:val="both"/>
        <w:rPr>
          <w:rFonts w:asciiTheme="minorHAnsi" w:hAnsiTheme="minorHAnsi"/>
          <w:szCs w:val="22"/>
        </w:rPr>
      </w:pPr>
      <w:r w:rsidRPr="00442BB0">
        <w:rPr>
          <w:rFonts w:asciiTheme="minorHAnsi" w:hAnsiTheme="minorHAnsi"/>
          <w:szCs w:val="22"/>
        </w:rPr>
        <w:t>Liczba gospodarstw domowych z lepszą klasą zużycia energii</w:t>
      </w:r>
    </w:p>
    <w:p w:rsidR="009415D4" w:rsidRPr="00442BB0" w:rsidRDefault="00CD5974" w:rsidP="0035001C">
      <w:pPr>
        <w:spacing w:line="240" w:lineRule="auto"/>
        <w:jc w:val="both"/>
        <w:rPr>
          <w:rFonts w:asciiTheme="minorHAnsi" w:hAnsiTheme="minorHAnsi"/>
          <w:b/>
          <w:szCs w:val="22"/>
        </w:rPr>
      </w:pPr>
      <w:r w:rsidRPr="00442BB0">
        <w:rPr>
          <w:rFonts w:asciiTheme="minorHAnsi" w:hAnsiTheme="minorHAnsi"/>
          <w:b/>
          <w:szCs w:val="22"/>
        </w:rPr>
        <w:t>Zgodnie z załącznikiem nr 2 „Lista Wskaźników do wykonania celów pośrednich oraz końcowych” do Porozumienia nr DEF-Z/987/15 z dnia 11 czerwca 2015 zawartego pomiędzy Województwem Dolnośląskim a Miastem Jelenia Góra pełniącym funkcję Instytucji Pośredniczącej, wskaźniki produktu weryfikowane na etapie oceny zgodności ze Strategią ZIT AJ są tożsame z wyżej wskazanymi tj.:</w:t>
      </w:r>
    </w:p>
    <w:p w:rsidR="00442BB0" w:rsidRPr="00442BB0" w:rsidRDefault="00442BB0" w:rsidP="00442BB0">
      <w:pPr>
        <w:pStyle w:val="Akapitzlist"/>
        <w:numPr>
          <w:ilvl w:val="0"/>
          <w:numId w:val="9"/>
        </w:numPr>
        <w:spacing w:before="0" w:line="240" w:lineRule="auto"/>
        <w:jc w:val="both"/>
        <w:rPr>
          <w:rFonts w:asciiTheme="minorHAnsi" w:hAnsiTheme="minorHAnsi"/>
          <w:szCs w:val="22"/>
        </w:rPr>
      </w:pPr>
      <w:r w:rsidRPr="00442BB0">
        <w:rPr>
          <w:rFonts w:asciiTheme="minorHAnsi" w:hAnsiTheme="minorHAnsi"/>
          <w:szCs w:val="22"/>
        </w:rPr>
        <w:t>Powierzchnia użytkowa budynków poddanych termomodernizacji</w:t>
      </w:r>
    </w:p>
    <w:p w:rsidR="00442BB0" w:rsidRPr="00442BB0" w:rsidRDefault="00442BB0" w:rsidP="00442BB0">
      <w:pPr>
        <w:pStyle w:val="Akapitzlist"/>
        <w:numPr>
          <w:ilvl w:val="0"/>
          <w:numId w:val="9"/>
        </w:numPr>
        <w:spacing w:before="0" w:line="240" w:lineRule="auto"/>
        <w:jc w:val="both"/>
        <w:rPr>
          <w:rFonts w:asciiTheme="minorHAnsi" w:hAnsiTheme="minorHAnsi"/>
          <w:szCs w:val="22"/>
        </w:rPr>
      </w:pPr>
      <w:r w:rsidRPr="00442BB0">
        <w:rPr>
          <w:rFonts w:asciiTheme="minorHAnsi" w:hAnsiTheme="minorHAnsi"/>
          <w:szCs w:val="22"/>
        </w:rPr>
        <w:t>Liczba gospodarstw domowych z lepszą klasą zużycia energii</w:t>
      </w:r>
    </w:p>
    <w:p w:rsidR="00065DCD" w:rsidRPr="009313DB" w:rsidRDefault="008C495E" w:rsidP="0035001C">
      <w:pPr>
        <w:spacing w:line="240" w:lineRule="auto"/>
        <w:jc w:val="both"/>
        <w:rPr>
          <w:rFonts w:asciiTheme="minorHAnsi" w:hAnsiTheme="minorHAnsi" w:cs="Arial"/>
          <w:szCs w:val="22"/>
        </w:rPr>
      </w:pPr>
      <w:r w:rsidRPr="009313DB">
        <w:rPr>
          <w:rFonts w:asciiTheme="minorHAnsi" w:hAnsiTheme="minorHAnsi"/>
          <w:b/>
          <w:szCs w:val="22"/>
        </w:rPr>
        <w:t>Wskaźniki rezultatu bezpośredniego</w:t>
      </w:r>
      <w:r w:rsidR="00065DCD" w:rsidRPr="009313DB">
        <w:rPr>
          <w:rFonts w:asciiTheme="minorHAnsi" w:hAnsiTheme="minorHAnsi"/>
          <w:szCs w:val="22"/>
        </w:rPr>
        <w:t xml:space="preserve"> są to</w:t>
      </w:r>
      <w:r w:rsidRPr="009313DB">
        <w:rPr>
          <w:rFonts w:asciiTheme="minorHAnsi" w:hAnsiTheme="minorHAnsi"/>
          <w:szCs w:val="22"/>
        </w:rPr>
        <w:t xml:space="preserve"> </w:t>
      </w:r>
      <w:r w:rsidR="003D3BC5" w:rsidRPr="009313DB">
        <w:rPr>
          <w:rFonts w:asciiTheme="minorHAnsi" w:hAnsiTheme="minorHAnsi"/>
          <w:szCs w:val="22"/>
        </w:rPr>
        <w:t>w</w:t>
      </w:r>
      <w:r w:rsidR="003D3BC5" w:rsidRPr="009313DB">
        <w:rPr>
          <w:rFonts w:asciiTheme="minorHAnsi" w:hAnsiTheme="minorHAnsi" w:cs="Arial"/>
          <w:szCs w:val="22"/>
        </w:rPr>
        <w:t>skaźniki odnoszące się</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do bezpośrednich efektów projektu, </w:t>
      </w:r>
      <w:r w:rsidR="00065DCD" w:rsidRPr="009313DB">
        <w:rPr>
          <w:rFonts w:asciiTheme="minorHAnsi" w:hAnsiTheme="minorHAnsi" w:cs="Arial"/>
          <w:szCs w:val="22"/>
        </w:rPr>
        <w:t xml:space="preserve">stanowią </w:t>
      </w:r>
      <w:r w:rsidR="003D3BC5" w:rsidRPr="009313DB">
        <w:rPr>
          <w:rFonts w:asciiTheme="minorHAnsi" w:hAnsiTheme="minorHAnsi" w:cs="Arial"/>
          <w:szCs w:val="22"/>
        </w:rPr>
        <w:t>wynik</w:t>
      </w:r>
      <w:r w:rsidR="00065DCD" w:rsidRPr="009313DB">
        <w:rPr>
          <w:rFonts w:asciiTheme="minorHAnsi" w:hAnsiTheme="minorHAnsi" w:cs="Arial"/>
          <w:szCs w:val="22"/>
        </w:rPr>
        <w:t xml:space="preserve"> realizacji</w:t>
      </w:r>
      <w:r w:rsidR="003D3BC5" w:rsidRPr="009313DB">
        <w:rPr>
          <w:rFonts w:asciiTheme="minorHAnsi" w:hAnsiTheme="minorHAnsi" w:cs="Arial"/>
          <w:szCs w:val="22"/>
        </w:rPr>
        <w:t xml:space="preserve"> projektu, ale mogą mieć na ni</w:t>
      </w:r>
      <w:r w:rsidR="00065DCD" w:rsidRPr="009313DB">
        <w:rPr>
          <w:rFonts w:asciiTheme="minorHAnsi" w:hAnsiTheme="minorHAnsi" w:cs="Arial"/>
          <w:szCs w:val="22"/>
        </w:rPr>
        <w:t>ego</w:t>
      </w:r>
      <w:r w:rsidR="003D3BC5" w:rsidRPr="009313DB">
        <w:rPr>
          <w:rFonts w:asciiTheme="minorHAnsi" w:hAnsiTheme="minorHAnsi" w:cs="Arial"/>
          <w:szCs w:val="22"/>
        </w:rPr>
        <w:t xml:space="preserve"> wpływ także inne zewnętrzne czynniki</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 niepowiązane bezpośrednio z wydatkami ponoszonymi w projekcie. </w:t>
      </w:r>
      <w:r w:rsidR="00065DCD" w:rsidRPr="009313DB">
        <w:rPr>
          <w:rFonts w:asciiTheme="minorHAnsi" w:hAnsiTheme="minorHAnsi" w:cs="Arial"/>
          <w:szCs w:val="22"/>
        </w:rPr>
        <w:t>Dostarczają informacji o zmianach jakie nastąpiły w wyniku realizacji projektu, w porównaniu z wielkością wyjściową (bazową). Są logicznie powiązane ze wskaźnikami produktu.  Muszą być adekwatne do celu projektu.</w:t>
      </w:r>
    </w:p>
    <w:p w:rsidR="00065DCD" w:rsidRPr="009313DB" w:rsidRDefault="00065DCD" w:rsidP="0035001C">
      <w:pPr>
        <w:pStyle w:val="Default"/>
        <w:jc w:val="both"/>
        <w:rPr>
          <w:rFonts w:asciiTheme="minorHAnsi" w:hAnsiTheme="minorHAnsi"/>
          <w:sz w:val="22"/>
          <w:szCs w:val="22"/>
        </w:rPr>
      </w:pPr>
    </w:p>
    <w:p w:rsidR="00065DCD" w:rsidRPr="009313DB" w:rsidRDefault="00065DCD" w:rsidP="0035001C">
      <w:pPr>
        <w:pStyle w:val="Default"/>
        <w:jc w:val="both"/>
        <w:rPr>
          <w:rFonts w:asciiTheme="minorHAnsi" w:hAnsiTheme="minorHAnsi"/>
          <w:sz w:val="22"/>
          <w:szCs w:val="22"/>
        </w:rPr>
      </w:pPr>
      <w:r w:rsidRPr="009313DB">
        <w:rPr>
          <w:rFonts w:asciiTheme="minorHAnsi" w:hAnsiTheme="minorHAnsi"/>
          <w:sz w:val="22"/>
          <w:szCs w:val="22"/>
        </w:rPr>
        <w:lastRenderedPageBreak/>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065DCD" w:rsidRPr="009313DB" w:rsidRDefault="00065DCD" w:rsidP="0035001C">
      <w:pPr>
        <w:pStyle w:val="Default"/>
        <w:jc w:val="both"/>
        <w:rPr>
          <w:rFonts w:asciiTheme="minorHAnsi" w:hAnsiTheme="minorHAnsi"/>
          <w:sz w:val="22"/>
          <w:szCs w:val="22"/>
        </w:rPr>
      </w:pPr>
      <w:r w:rsidRPr="009313DB">
        <w:rPr>
          <w:rFonts w:asciiTheme="minorHAnsi" w:hAnsiTheme="minorHAnsi"/>
          <w:sz w:val="22"/>
          <w:szCs w:val="22"/>
        </w:rPr>
        <w:t>Wartość docelowa dla wskaźnika rezultatu to wyrażony liczbowo stan danego wskaźnika uzyskany w efekcie realizacji projektu</w:t>
      </w:r>
      <w:r w:rsidR="00106CD3">
        <w:rPr>
          <w:rFonts w:asciiTheme="minorHAnsi" w:hAnsiTheme="minorHAnsi"/>
          <w:sz w:val="22"/>
          <w:szCs w:val="22"/>
        </w:rPr>
        <w:t>.</w:t>
      </w:r>
      <w:r w:rsidRPr="009313DB">
        <w:rPr>
          <w:rFonts w:asciiTheme="minorHAnsi" w:hAnsiTheme="minorHAnsi"/>
          <w:sz w:val="22"/>
          <w:szCs w:val="22"/>
        </w:rPr>
        <w:t xml:space="preserve"> </w:t>
      </w:r>
    </w:p>
    <w:p w:rsidR="00065DCD" w:rsidRPr="009313DB" w:rsidRDefault="00065DCD"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 xml:space="preserve">Jako źródło informacji o wskaźniku wskazać należy odpowiedni dokument (np. ewidencja </w:t>
      </w:r>
      <w:r w:rsidR="00C538A8">
        <w:rPr>
          <w:rFonts w:ascii="Calibri" w:hAnsi="Calibri"/>
          <w:szCs w:val="22"/>
        </w:rPr>
        <w:t>zużycia energii</w:t>
      </w:r>
      <w:r w:rsidRPr="009313DB">
        <w:rPr>
          <w:rFonts w:asciiTheme="minorHAnsi" w:hAnsiTheme="minorHAnsi"/>
          <w:szCs w:val="22"/>
        </w:rPr>
        <w:t>).</w:t>
      </w:r>
    </w:p>
    <w:p w:rsidR="008C495E" w:rsidRPr="009313DB" w:rsidRDefault="003D3BC5" w:rsidP="0035001C">
      <w:pPr>
        <w:autoSpaceDE w:val="0"/>
        <w:autoSpaceDN w:val="0"/>
        <w:adjustRightInd w:val="0"/>
        <w:spacing w:before="120" w:after="120" w:line="240" w:lineRule="auto"/>
        <w:jc w:val="both"/>
        <w:rPr>
          <w:rFonts w:asciiTheme="minorHAnsi" w:hAnsiTheme="minorHAnsi"/>
          <w:szCs w:val="22"/>
        </w:rPr>
      </w:pPr>
      <w:r w:rsidRPr="009313DB">
        <w:rPr>
          <w:rFonts w:asciiTheme="minorHAnsi" w:hAnsiTheme="minorHAnsi"/>
          <w:szCs w:val="22"/>
        </w:rPr>
        <w:t xml:space="preserve">W ramach Działania </w:t>
      </w:r>
      <w:r w:rsidR="004839B2">
        <w:rPr>
          <w:rFonts w:asciiTheme="minorHAnsi" w:hAnsiTheme="minorHAnsi"/>
          <w:szCs w:val="22"/>
        </w:rPr>
        <w:t>3.3</w:t>
      </w:r>
      <w:r w:rsidR="00365976">
        <w:rPr>
          <w:rFonts w:asciiTheme="minorHAnsi" w:hAnsiTheme="minorHAnsi"/>
          <w:szCs w:val="22"/>
        </w:rPr>
        <w:t xml:space="preserve"> B</w:t>
      </w:r>
      <w:r w:rsidRPr="009313DB">
        <w:rPr>
          <w:rFonts w:asciiTheme="minorHAnsi" w:hAnsiTheme="minorHAnsi"/>
          <w:szCs w:val="22"/>
        </w:rPr>
        <w:t xml:space="preserve"> określono poniższe wskaźniki</w:t>
      </w:r>
      <w:r w:rsidRPr="009313DB">
        <w:rPr>
          <w:rFonts w:asciiTheme="minorHAnsi" w:hAnsiTheme="minorHAnsi"/>
          <w:b/>
          <w:szCs w:val="22"/>
        </w:rPr>
        <w:t xml:space="preserve"> rezultatu bezpośredniego</w:t>
      </w:r>
      <w:r w:rsidRPr="009313DB">
        <w:rPr>
          <w:rFonts w:asciiTheme="minorHAnsi" w:hAnsiTheme="minorHAnsi"/>
          <w:szCs w:val="22"/>
        </w:rPr>
        <w:t>:</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661"/>
        <w:gridCol w:w="1417"/>
        <w:gridCol w:w="3685"/>
        <w:gridCol w:w="1525"/>
      </w:tblGrid>
      <w:tr w:rsidR="00065DCD" w:rsidRPr="009313DB" w:rsidTr="00065DCD">
        <w:trPr>
          <w:trHeight w:val="20"/>
          <w:jc w:val="center"/>
        </w:trPr>
        <w:tc>
          <w:tcPr>
            <w:tcW w:w="1432" w:type="pct"/>
            <w:shd w:val="clear" w:color="auto" w:fill="auto"/>
            <w:vAlign w:val="center"/>
          </w:tcPr>
          <w:p w:rsidR="00065DCD" w:rsidRPr="009313DB" w:rsidRDefault="00065DCD" w:rsidP="0035001C">
            <w:pPr>
              <w:spacing w:before="0" w:line="240" w:lineRule="auto"/>
              <w:jc w:val="center"/>
              <w:rPr>
                <w:rFonts w:asciiTheme="minorHAnsi" w:hAnsiTheme="minorHAnsi"/>
                <w:b/>
                <w:szCs w:val="22"/>
              </w:rPr>
            </w:pPr>
            <w:r w:rsidRPr="009313DB">
              <w:rPr>
                <w:rFonts w:asciiTheme="minorHAnsi" w:hAnsiTheme="minorHAnsi"/>
                <w:b/>
                <w:szCs w:val="22"/>
              </w:rPr>
              <w:t>Nazwa wskaźnika rezultatu bezpośredniego</w:t>
            </w:r>
          </w:p>
        </w:tc>
        <w:tc>
          <w:tcPr>
            <w:tcW w:w="763"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1984" w:type="pct"/>
            <w:shd w:val="clear" w:color="auto" w:fill="auto"/>
            <w:vAlign w:val="center"/>
          </w:tcPr>
          <w:p w:rsidR="00065DCD" w:rsidRPr="009313DB" w:rsidRDefault="00065DCD" w:rsidP="00377E66">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AA4C46"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924BAF" w:rsidRPr="009313DB" w:rsidTr="00924BAF">
        <w:trPr>
          <w:trHeight w:val="20"/>
          <w:jc w:val="center"/>
        </w:trPr>
        <w:tc>
          <w:tcPr>
            <w:tcW w:w="1432" w:type="pct"/>
            <w:shd w:val="clear" w:color="auto" w:fill="auto"/>
          </w:tcPr>
          <w:p w:rsidR="00924BAF" w:rsidRPr="009313DB" w:rsidRDefault="00924BAF" w:rsidP="00665306">
            <w:pPr>
              <w:spacing w:before="40" w:after="40" w:line="240" w:lineRule="auto"/>
              <w:rPr>
                <w:rFonts w:asciiTheme="minorHAnsi" w:hAnsiTheme="minorHAnsi"/>
                <w:szCs w:val="22"/>
              </w:rPr>
            </w:pPr>
            <w:r>
              <w:rPr>
                <w:rFonts w:asciiTheme="minorHAnsi" w:hAnsiTheme="minorHAnsi"/>
                <w:szCs w:val="22"/>
              </w:rPr>
              <w:t>S</w:t>
            </w:r>
            <w:r w:rsidRPr="00997AFA">
              <w:rPr>
                <w:rFonts w:asciiTheme="minorHAnsi" w:hAnsiTheme="minorHAnsi"/>
                <w:szCs w:val="22"/>
              </w:rPr>
              <w:t xml:space="preserve">zacowany roczny spadek emisji gazów </w:t>
            </w:r>
            <w:r w:rsidR="00665306">
              <w:rPr>
                <w:rFonts w:asciiTheme="minorHAnsi" w:hAnsiTheme="minorHAnsi"/>
                <w:szCs w:val="22"/>
              </w:rPr>
              <w:t>c</w:t>
            </w:r>
            <w:r w:rsidRPr="00997AFA">
              <w:rPr>
                <w:rFonts w:asciiTheme="minorHAnsi" w:hAnsiTheme="minorHAnsi"/>
                <w:szCs w:val="22"/>
              </w:rPr>
              <w:t xml:space="preserve">ieplarnianych </w:t>
            </w:r>
          </w:p>
        </w:tc>
        <w:tc>
          <w:tcPr>
            <w:tcW w:w="763" w:type="pct"/>
          </w:tcPr>
          <w:p w:rsidR="00924BAF" w:rsidRPr="009313DB" w:rsidRDefault="00924BAF" w:rsidP="00912375">
            <w:pPr>
              <w:spacing w:line="240" w:lineRule="auto"/>
              <w:jc w:val="both"/>
              <w:rPr>
                <w:rFonts w:asciiTheme="minorHAnsi" w:hAnsiTheme="minorHAnsi"/>
                <w:szCs w:val="22"/>
              </w:rPr>
            </w:pPr>
            <w:r w:rsidRPr="00997AFA">
              <w:rPr>
                <w:rFonts w:asciiTheme="minorHAnsi" w:hAnsiTheme="minorHAnsi"/>
                <w:szCs w:val="22"/>
              </w:rPr>
              <w:t>tony równoważnika CO2/rok</w:t>
            </w:r>
          </w:p>
        </w:tc>
        <w:tc>
          <w:tcPr>
            <w:tcW w:w="1984" w:type="pct"/>
            <w:shd w:val="clear" w:color="auto" w:fill="auto"/>
          </w:tcPr>
          <w:p w:rsidR="00924BAF" w:rsidRDefault="00924BAF" w:rsidP="00912375">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Tłumaczenie robocze:</w:t>
            </w:r>
          </w:p>
          <w:p w:rsidR="00924BAF" w:rsidRPr="00E32852" w:rsidRDefault="00924BAF" w:rsidP="00912375">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IZ. Wskaźnik pokaże całkowity szacowany roczny spadek na koniec okresu, a nie całkowity spadek w całym okresie.</w:t>
            </w:r>
          </w:p>
          <w:p w:rsidR="00924BAF" w:rsidRPr="00E32852" w:rsidRDefault="00924BAF" w:rsidP="00912375">
            <w:pPr>
              <w:autoSpaceDE w:val="0"/>
              <w:autoSpaceDN w:val="0"/>
              <w:adjustRightInd w:val="0"/>
              <w:spacing w:before="0" w:line="240" w:lineRule="auto"/>
              <w:jc w:val="both"/>
              <w:rPr>
                <w:rFonts w:asciiTheme="minorHAnsi" w:hAnsiTheme="minorHAnsi"/>
                <w:szCs w:val="22"/>
              </w:rPr>
            </w:pPr>
          </w:p>
          <w:p w:rsidR="00924BAF" w:rsidRPr="00E32852" w:rsidRDefault="00924BAF" w:rsidP="00912375">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 przypadku produkcji energii odnawialnej, prognoza opiera się na ilości energii pierwotnej produkowanej przez wsparte przedsiębiorstwa/</w:t>
            </w:r>
            <w:r>
              <w:rPr>
                <w:rFonts w:asciiTheme="minorHAnsi" w:hAnsiTheme="minorHAnsi"/>
                <w:szCs w:val="22"/>
              </w:rPr>
              <w:t xml:space="preserve"> </w:t>
            </w:r>
            <w:r w:rsidRPr="00E32852">
              <w:rPr>
                <w:rFonts w:asciiTheme="minorHAnsi" w:hAnsiTheme="minorHAnsi"/>
                <w:szCs w:val="22"/>
              </w:rPr>
              <w:t xml:space="preserve">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w:t>
            </w:r>
            <w:r w:rsidRPr="00E32852">
              <w:rPr>
                <w:rFonts w:asciiTheme="minorHAnsi" w:hAnsiTheme="minorHAnsi"/>
                <w:szCs w:val="22"/>
              </w:rPr>
              <w:lastRenderedPageBreak/>
              <w:t>państwo członkowskie gazów cieplarnianych na jednostkę produkcji energii nieodnawialnej.</w:t>
            </w:r>
          </w:p>
          <w:p w:rsidR="00924BAF" w:rsidRPr="00E32852" w:rsidRDefault="00924BAF" w:rsidP="00912375">
            <w:pPr>
              <w:autoSpaceDE w:val="0"/>
              <w:autoSpaceDN w:val="0"/>
              <w:adjustRightInd w:val="0"/>
              <w:spacing w:before="0" w:line="240" w:lineRule="auto"/>
              <w:jc w:val="both"/>
              <w:rPr>
                <w:rFonts w:asciiTheme="minorHAnsi" w:hAnsiTheme="minorHAnsi"/>
                <w:szCs w:val="22"/>
              </w:rPr>
            </w:pPr>
          </w:p>
          <w:p w:rsidR="00924BAF" w:rsidRDefault="00924BAF" w:rsidP="00912375">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 przypadku działań uzyskujących oszczędność energii, prognoza opiera się na ilości energii pierwotnej 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 cieplarnianych na jednostkę produkcji energii nieodnawialnej.</w:t>
            </w:r>
          </w:p>
          <w:p w:rsidR="00924BAF" w:rsidRDefault="00924BAF" w:rsidP="00912375">
            <w:pPr>
              <w:autoSpaceDE w:val="0"/>
              <w:autoSpaceDN w:val="0"/>
              <w:adjustRightInd w:val="0"/>
              <w:spacing w:before="0" w:line="240" w:lineRule="auto"/>
              <w:jc w:val="both"/>
              <w:rPr>
                <w:rFonts w:asciiTheme="minorHAnsi" w:hAnsiTheme="minorHAnsi"/>
                <w:szCs w:val="22"/>
              </w:rPr>
            </w:pPr>
          </w:p>
          <w:p w:rsidR="00924BAF" w:rsidRPr="007C0883" w:rsidRDefault="00924BAF" w:rsidP="00912375">
            <w:pPr>
              <w:autoSpaceDE w:val="0"/>
              <w:autoSpaceDN w:val="0"/>
              <w:adjustRightInd w:val="0"/>
              <w:spacing w:before="0" w:line="240" w:lineRule="auto"/>
              <w:jc w:val="both"/>
              <w:rPr>
                <w:rFonts w:asciiTheme="minorHAnsi" w:hAnsiTheme="minorHAnsi"/>
                <w:szCs w:val="22"/>
              </w:rPr>
            </w:pPr>
            <w:proofErr w:type="spellStart"/>
            <w:r w:rsidRPr="007C0883">
              <w:rPr>
                <w:rFonts w:asciiTheme="minorHAnsi" w:hAnsiTheme="minorHAnsi"/>
                <w:szCs w:val="22"/>
              </w:rPr>
              <w:t>This</w:t>
            </w:r>
            <w:proofErr w:type="spellEnd"/>
            <w:r w:rsidRPr="007C0883">
              <w:rPr>
                <w:rFonts w:asciiTheme="minorHAnsi" w:hAnsiTheme="minorHAnsi"/>
                <w:szCs w:val="22"/>
              </w:rPr>
              <w:t xml:space="preserve"> </w:t>
            </w:r>
            <w:proofErr w:type="spellStart"/>
            <w:r w:rsidRPr="007C0883">
              <w:rPr>
                <w:rFonts w:asciiTheme="minorHAnsi" w:hAnsiTheme="minorHAnsi"/>
                <w:szCs w:val="22"/>
              </w:rPr>
              <w:t>indicator</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calculated</w:t>
            </w:r>
            <w:proofErr w:type="spellEnd"/>
            <w:r w:rsidRPr="007C0883">
              <w:rPr>
                <w:rFonts w:asciiTheme="minorHAnsi" w:hAnsiTheme="minorHAnsi"/>
                <w:szCs w:val="22"/>
              </w:rPr>
              <w:t xml:space="preserve"> for </w:t>
            </w:r>
            <w:proofErr w:type="spellStart"/>
            <w:r w:rsidRPr="007C0883">
              <w:rPr>
                <w:rFonts w:asciiTheme="minorHAnsi" w:hAnsiTheme="minorHAnsi"/>
                <w:szCs w:val="22"/>
              </w:rPr>
              <w:t>interventions</w:t>
            </w:r>
            <w:proofErr w:type="spellEnd"/>
            <w:r w:rsidRPr="007C0883">
              <w:rPr>
                <w:rFonts w:asciiTheme="minorHAnsi" w:hAnsiTheme="minorHAnsi"/>
                <w:szCs w:val="22"/>
              </w:rPr>
              <w:t xml:space="preserve"> </w:t>
            </w:r>
            <w:proofErr w:type="spellStart"/>
            <w:r w:rsidRPr="007C0883">
              <w:rPr>
                <w:rFonts w:asciiTheme="minorHAnsi" w:hAnsiTheme="minorHAnsi"/>
                <w:szCs w:val="22"/>
              </w:rPr>
              <w:t>directly</w:t>
            </w:r>
            <w:proofErr w:type="spellEnd"/>
            <w:r w:rsidRPr="007C0883">
              <w:rPr>
                <w:rFonts w:asciiTheme="minorHAnsi" w:hAnsiTheme="minorHAnsi"/>
                <w:szCs w:val="22"/>
              </w:rPr>
              <w:t xml:space="preserve"> </w:t>
            </w:r>
            <w:proofErr w:type="spellStart"/>
            <w:r w:rsidRPr="007C0883">
              <w:rPr>
                <w:rFonts w:asciiTheme="minorHAnsi" w:hAnsiTheme="minorHAnsi"/>
                <w:szCs w:val="22"/>
              </w:rPr>
              <w:t>aiming</w:t>
            </w:r>
            <w:proofErr w:type="spellEnd"/>
            <w:r w:rsidRPr="007C0883">
              <w:rPr>
                <w:rFonts w:asciiTheme="minorHAnsi" w:hAnsiTheme="minorHAnsi"/>
                <w:szCs w:val="22"/>
              </w:rPr>
              <w:t xml:space="preserve"> to </w:t>
            </w:r>
            <w:proofErr w:type="spellStart"/>
            <w:r w:rsidRPr="007C0883">
              <w:rPr>
                <w:rFonts w:asciiTheme="minorHAnsi" w:hAnsiTheme="minorHAnsi"/>
                <w:szCs w:val="22"/>
              </w:rPr>
              <w:t>increase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to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consumption</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saving</w:t>
            </w:r>
            <w:proofErr w:type="spellEnd"/>
            <w:r w:rsidRPr="007C0883">
              <w:rPr>
                <w:rFonts w:asciiTheme="minorHAnsi" w:hAnsiTheme="minorHAnsi"/>
                <w:szCs w:val="22"/>
              </w:rPr>
              <w:t xml:space="preserve"> </w:t>
            </w:r>
            <w:proofErr w:type="spellStart"/>
            <w:r w:rsidRPr="007C0883">
              <w:rPr>
                <w:rFonts w:asciiTheme="minorHAnsi" w:hAnsiTheme="minorHAnsi"/>
                <w:szCs w:val="22"/>
              </w:rPr>
              <w:t>measures</w:t>
            </w:r>
            <w:proofErr w:type="spellEnd"/>
            <w:r w:rsidRPr="007C0883">
              <w:rPr>
                <w:rFonts w:asciiTheme="minorHAnsi" w:hAnsiTheme="minorHAnsi"/>
                <w:szCs w:val="22"/>
              </w:rPr>
              <w:t xml:space="preserve">, </w:t>
            </w:r>
            <w:proofErr w:type="spellStart"/>
            <w:r w:rsidRPr="007C0883">
              <w:rPr>
                <w:rFonts w:asciiTheme="minorHAnsi" w:hAnsiTheme="minorHAnsi"/>
                <w:szCs w:val="22"/>
              </w:rPr>
              <w:t>thus</w:t>
            </w:r>
            <w:proofErr w:type="spellEnd"/>
            <w:r w:rsidRPr="007C0883">
              <w:rPr>
                <w:rFonts w:asciiTheme="minorHAnsi" w:hAnsiTheme="minorHAnsi"/>
                <w:szCs w:val="22"/>
              </w:rPr>
              <w:t xml:space="preserve"> </w:t>
            </w:r>
            <w:proofErr w:type="spellStart"/>
            <w:r w:rsidRPr="007C0883">
              <w:rPr>
                <w:rFonts w:asciiTheme="minorHAnsi" w:hAnsiTheme="minorHAnsi"/>
                <w:szCs w:val="22"/>
              </w:rPr>
              <w:t>its</w:t>
            </w:r>
            <w:proofErr w:type="spellEnd"/>
            <w:r w:rsidRPr="007C0883">
              <w:rPr>
                <w:rFonts w:asciiTheme="minorHAnsi" w:hAnsiTheme="minorHAnsi"/>
                <w:szCs w:val="22"/>
              </w:rPr>
              <w:t xml:space="preserve"> </w:t>
            </w:r>
            <w:proofErr w:type="spellStart"/>
            <w:r w:rsidRPr="007C0883">
              <w:rPr>
                <w:rFonts w:asciiTheme="minorHAnsi" w:hAnsiTheme="minorHAnsi"/>
                <w:szCs w:val="22"/>
              </w:rPr>
              <w:t>use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mandatory</w:t>
            </w:r>
            <w:proofErr w:type="spellEnd"/>
            <w:r w:rsidRPr="007C0883">
              <w:rPr>
                <w:rFonts w:asciiTheme="minorHAnsi" w:hAnsiTheme="minorHAnsi"/>
                <w:szCs w:val="22"/>
              </w:rPr>
              <w:t xml:space="preserve"> </w:t>
            </w:r>
            <w:proofErr w:type="spellStart"/>
            <w:r w:rsidRPr="007C0883">
              <w:rPr>
                <w:rFonts w:asciiTheme="minorHAnsi" w:hAnsiTheme="minorHAnsi"/>
                <w:szCs w:val="22"/>
              </w:rPr>
              <w:t>only</w:t>
            </w:r>
            <w:proofErr w:type="spellEnd"/>
            <w:r w:rsidRPr="007C0883">
              <w:rPr>
                <w:rFonts w:asciiTheme="minorHAnsi" w:hAnsiTheme="minorHAnsi"/>
                <w:szCs w:val="22"/>
              </w:rPr>
              <w:t xml:space="preserve"> </w:t>
            </w:r>
            <w:proofErr w:type="spellStart"/>
            <w:r w:rsidRPr="007C0883">
              <w:rPr>
                <w:rFonts w:asciiTheme="minorHAnsi" w:hAnsiTheme="minorHAnsi"/>
                <w:szCs w:val="22"/>
              </w:rPr>
              <w:t>where</w:t>
            </w:r>
            <w:proofErr w:type="spellEnd"/>
            <w:r w:rsidRPr="007C0883">
              <w:rPr>
                <w:rFonts w:asciiTheme="minorHAnsi" w:hAnsiTheme="minorHAnsi"/>
                <w:szCs w:val="22"/>
              </w:rPr>
              <w:t xml:space="preserve"> </w:t>
            </w:r>
            <w:proofErr w:type="spellStart"/>
            <w:r w:rsidRPr="007C0883">
              <w:rPr>
                <w:rFonts w:asciiTheme="minorHAnsi" w:hAnsiTheme="minorHAnsi"/>
                <w:szCs w:val="22"/>
              </w:rPr>
              <w:t>these</w:t>
            </w:r>
            <w:proofErr w:type="spellEnd"/>
            <w:r w:rsidRPr="007C0883">
              <w:rPr>
                <w:rFonts w:asciiTheme="minorHAnsi" w:hAnsiTheme="minorHAnsi"/>
                <w:szCs w:val="22"/>
              </w:rPr>
              <w:t xml:space="preserve"> </w:t>
            </w:r>
            <w:proofErr w:type="spellStart"/>
            <w:r w:rsidRPr="007C0883">
              <w:rPr>
                <w:rFonts w:asciiTheme="minorHAnsi" w:hAnsiTheme="minorHAnsi"/>
                <w:szCs w:val="22"/>
              </w:rPr>
              <w:t>indicators</w:t>
            </w:r>
            <w:proofErr w:type="spellEnd"/>
            <w:r w:rsidRPr="007C0883">
              <w:rPr>
                <w:rFonts w:asciiTheme="minorHAnsi" w:hAnsiTheme="minorHAnsi"/>
                <w:szCs w:val="22"/>
              </w:rPr>
              <w:t xml:space="preserve"> </w:t>
            </w:r>
            <w:proofErr w:type="spellStart"/>
            <w:r w:rsidRPr="007C0883">
              <w:rPr>
                <w:rFonts w:asciiTheme="minorHAnsi" w:hAnsiTheme="minorHAnsi"/>
                <w:szCs w:val="22"/>
              </w:rPr>
              <w:t>are</w:t>
            </w:r>
            <w:proofErr w:type="spellEnd"/>
            <w:r w:rsidRPr="007C0883">
              <w:rPr>
                <w:rFonts w:asciiTheme="minorHAnsi" w:hAnsiTheme="minorHAnsi"/>
                <w:szCs w:val="22"/>
              </w:rPr>
              <w:t xml:space="preserve"> </w:t>
            </w:r>
            <w:proofErr w:type="spellStart"/>
            <w:r w:rsidRPr="007C0883">
              <w:rPr>
                <w:rFonts w:asciiTheme="minorHAnsi" w:hAnsiTheme="minorHAnsi"/>
                <w:szCs w:val="22"/>
              </w:rPr>
              <w:t>relevant</w:t>
            </w:r>
            <w:proofErr w:type="spellEnd"/>
            <w:r w:rsidRPr="007C0883">
              <w:rPr>
                <w:rFonts w:asciiTheme="minorHAnsi" w:hAnsiTheme="minorHAnsi"/>
                <w:szCs w:val="22"/>
              </w:rPr>
              <w:t xml:space="preserve">. </w:t>
            </w:r>
            <w:proofErr w:type="spellStart"/>
            <w:r w:rsidRPr="007C0883">
              <w:rPr>
                <w:rFonts w:asciiTheme="minorHAnsi" w:hAnsiTheme="minorHAnsi"/>
                <w:szCs w:val="22"/>
              </w:rPr>
              <w:t>Uses</w:t>
            </w:r>
            <w:proofErr w:type="spellEnd"/>
            <w:r w:rsidRPr="007C0883">
              <w:rPr>
                <w:rFonts w:asciiTheme="minorHAnsi" w:hAnsiTheme="minorHAnsi"/>
                <w:szCs w:val="22"/>
              </w:rPr>
              <w:t xml:space="preserve"> for </w:t>
            </w:r>
            <w:proofErr w:type="spellStart"/>
            <w:r w:rsidRPr="007C0883">
              <w:rPr>
                <w:rFonts w:asciiTheme="minorHAnsi" w:hAnsiTheme="minorHAnsi"/>
                <w:szCs w:val="22"/>
              </w:rPr>
              <w:t>other</w:t>
            </w:r>
            <w:proofErr w:type="spellEnd"/>
            <w:r w:rsidRPr="007C0883">
              <w:rPr>
                <w:rFonts w:asciiTheme="minorHAnsi" w:hAnsiTheme="minorHAnsi"/>
                <w:szCs w:val="22"/>
              </w:rPr>
              <w:t xml:space="preserve"> </w:t>
            </w:r>
            <w:proofErr w:type="spellStart"/>
            <w:r w:rsidRPr="007C0883">
              <w:rPr>
                <w:rFonts w:asciiTheme="minorHAnsi" w:hAnsiTheme="minorHAnsi"/>
                <w:szCs w:val="22"/>
              </w:rPr>
              <w:t>interventions</w:t>
            </w:r>
            <w:proofErr w:type="spellEnd"/>
            <w:r w:rsidRPr="007C0883">
              <w:rPr>
                <w:rFonts w:asciiTheme="minorHAnsi" w:hAnsiTheme="minorHAnsi"/>
                <w:szCs w:val="22"/>
              </w:rPr>
              <w:t xml:space="preserve"> with </w:t>
            </w:r>
            <w:proofErr w:type="spellStart"/>
            <w:r w:rsidRPr="007C0883">
              <w:rPr>
                <w:rFonts w:asciiTheme="minorHAnsi" w:hAnsiTheme="minorHAnsi"/>
                <w:szCs w:val="22"/>
              </w:rPr>
              <w:t>possible</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w:t>
            </w:r>
            <w:proofErr w:type="spellStart"/>
            <w:r w:rsidRPr="007C0883">
              <w:rPr>
                <w:rFonts w:asciiTheme="minorHAnsi" w:hAnsiTheme="minorHAnsi"/>
                <w:szCs w:val="22"/>
              </w:rPr>
              <w:t>are</w:t>
            </w:r>
            <w:proofErr w:type="spellEnd"/>
            <w:r w:rsidRPr="007C0883">
              <w:rPr>
                <w:rFonts w:asciiTheme="minorHAnsi" w:hAnsiTheme="minorHAnsi"/>
                <w:szCs w:val="22"/>
              </w:rPr>
              <w:t xml:space="preserve"> </w:t>
            </w:r>
            <w:proofErr w:type="spellStart"/>
            <w:r w:rsidRPr="007C0883">
              <w:rPr>
                <w:rFonts w:asciiTheme="minorHAnsi" w:hAnsiTheme="minorHAnsi"/>
                <w:szCs w:val="22"/>
              </w:rPr>
              <w:t>optional</w:t>
            </w:r>
            <w:proofErr w:type="spellEnd"/>
            <w:r w:rsidRPr="007C0883">
              <w:rPr>
                <w:rFonts w:asciiTheme="minorHAnsi" w:hAnsiTheme="minorHAnsi"/>
                <w:szCs w:val="22"/>
              </w:rPr>
              <w:t xml:space="preserve"> with </w:t>
            </w:r>
            <w:proofErr w:type="spellStart"/>
            <w:r w:rsidRPr="007C0883">
              <w:rPr>
                <w:rFonts w:asciiTheme="minorHAnsi" w:hAnsiTheme="minorHAnsi"/>
                <w:szCs w:val="22"/>
              </w:rPr>
              <w:t>methodology</w:t>
            </w:r>
            <w:proofErr w:type="spellEnd"/>
            <w:r w:rsidRPr="007C0883">
              <w:rPr>
                <w:rFonts w:asciiTheme="minorHAnsi" w:hAnsiTheme="minorHAnsi"/>
                <w:szCs w:val="22"/>
              </w:rPr>
              <w:t xml:space="preserve"> </w:t>
            </w:r>
            <w:proofErr w:type="spellStart"/>
            <w:r w:rsidRPr="007C0883">
              <w:rPr>
                <w:rFonts w:asciiTheme="minorHAnsi" w:hAnsiTheme="minorHAnsi"/>
                <w:szCs w:val="22"/>
              </w:rPr>
              <w:t>developed</w:t>
            </w:r>
            <w:proofErr w:type="spellEnd"/>
            <w:r w:rsidRPr="007C0883">
              <w:rPr>
                <w:rFonts w:asciiTheme="minorHAnsi" w:hAnsiTheme="minorHAnsi"/>
                <w:szCs w:val="22"/>
              </w:rPr>
              <w:t xml:space="preserve"> by the MA. The </w:t>
            </w:r>
            <w:proofErr w:type="spellStart"/>
            <w:r w:rsidRPr="007C0883">
              <w:rPr>
                <w:rFonts w:asciiTheme="minorHAnsi" w:hAnsiTheme="minorHAnsi"/>
                <w:szCs w:val="22"/>
              </w:rPr>
              <w:t>indicator</w:t>
            </w:r>
            <w:proofErr w:type="spellEnd"/>
            <w:r w:rsidRPr="007C0883">
              <w:rPr>
                <w:rFonts w:asciiTheme="minorHAnsi" w:hAnsiTheme="minorHAnsi"/>
                <w:szCs w:val="22"/>
              </w:rPr>
              <w:t xml:space="preserve"> </w:t>
            </w:r>
            <w:proofErr w:type="spellStart"/>
            <w:r w:rsidRPr="007C0883">
              <w:rPr>
                <w:rFonts w:asciiTheme="minorHAnsi" w:hAnsiTheme="minorHAnsi"/>
                <w:szCs w:val="22"/>
              </w:rPr>
              <w:t>will</w:t>
            </w:r>
            <w:proofErr w:type="spellEnd"/>
            <w:r w:rsidRPr="007C0883">
              <w:rPr>
                <w:rFonts w:asciiTheme="minorHAnsi" w:hAnsiTheme="minorHAnsi"/>
                <w:szCs w:val="22"/>
              </w:rPr>
              <w:t xml:space="preserve"> show the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of </w:t>
            </w:r>
            <w:proofErr w:type="spellStart"/>
            <w:r w:rsidRPr="007C0883">
              <w:rPr>
                <w:rFonts w:asciiTheme="minorHAnsi" w:hAnsiTheme="minorHAnsi"/>
                <w:szCs w:val="22"/>
              </w:rPr>
              <w:t>annual</w:t>
            </w:r>
            <w:proofErr w:type="spellEnd"/>
            <w:r w:rsidRPr="007C0883">
              <w:rPr>
                <w:rFonts w:asciiTheme="minorHAnsi" w:hAnsiTheme="minorHAnsi"/>
                <w:szCs w:val="22"/>
              </w:rPr>
              <w:t xml:space="preserve">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by the end of the period, not the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throughout</w:t>
            </w:r>
            <w:proofErr w:type="spellEnd"/>
            <w:r w:rsidRPr="007C0883">
              <w:rPr>
                <w:rFonts w:asciiTheme="minorHAnsi" w:hAnsiTheme="minorHAnsi"/>
                <w:szCs w:val="22"/>
              </w:rPr>
              <w:t xml:space="preserve"> the period.</w:t>
            </w:r>
          </w:p>
          <w:p w:rsidR="00924BAF" w:rsidRPr="007C0883" w:rsidRDefault="00924BAF" w:rsidP="00912375">
            <w:pPr>
              <w:autoSpaceDE w:val="0"/>
              <w:autoSpaceDN w:val="0"/>
              <w:adjustRightInd w:val="0"/>
              <w:spacing w:before="0" w:line="240" w:lineRule="auto"/>
              <w:jc w:val="both"/>
              <w:rPr>
                <w:rFonts w:asciiTheme="minorHAnsi" w:hAnsiTheme="minorHAnsi"/>
                <w:szCs w:val="22"/>
              </w:rPr>
            </w:pPr>
            <w:r w:rsidRPr="007C0883">
              <w:rPr>
                <w:rFonts w:asciiTheme="minorHAnsi" w:hAnsiTheme="minorHAnsi"/>
                <w:szCs w:val="22"/>
              </w:rPr>
              <w:t xml:space="preserve">In </w:t>
            </w:r>
            <w:proofErr w:type="spellStart"/>
            <w:r w:rsidRPr="007C0883">
              <w:rPr>
                <w:rFonts w:asciiTheme="minorHAnsi" w:hAnsiTheme="minorHAnsi"/>
                <w:szCs w:val="22"/>
              </w:rPr>
              <w:t>case</w:t>
            </w:r>
            <w:proofErr w:type="spellEnd"/>
            <w:r w:rsidRPr="007C0883">
              <w:rPr>
                <w:rFonts w:asciiTheme="minorHAnsi" w:hAnsiTheme="minorHAnsi"/>
                <w:szCs w:val="22"/>
              </w:rPr>
              <w:t xml:space="preserve"> of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the </w:t>
            </w:r>
            <w:proofErr w:type="spellStart"/>
            <w:r w:rsidRPr="007C0883">
              <w:rPr>
                <w:rFonts w:asciiTheme="minorHAnsi" w:hAnsiTheme="minorHAnsi"/>
                <w:szCs w:val="22"/>
              </w:rPr>
              <w:t>estimate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based</w:t>
            </w:r>
            <w:proofErr w:type="spellEnd"/>
            <w:r w:rsidRPr="007C0883">
              <w:rPr>
                <w:rFonts w:asciiTheme="minorHAnsi" w:hAnsiTheme="minorHAnsi"/>
                <w:szCs w:val="22"/>
              </w:rPr>
              <w:t xml:space="preserve"> on the </w:t>
            </w:r>
            <w:proofErr w:type="spellStart"/>
            <w:r w:rsidRPr="007C0883">
              <w:rPr>
                <w:rFonts w:asciiTheme="minorHAnsi" w:hAnsiTheme="minorHAnsi"/>
                <w:szCs w:val="22"/>
              </w:rPr>
              <w:t>amount</w:t>
            </w:r>
            <w:proofErr w:type="spellEnd"/>
            <w:r w:rsidRPr="007C0883">
              <w:rPr>
                <w:rFonts w:asciiTheme="minorHAnsi" w:hAnsiTheme="minorHAnsi"/>
                <w:szCs w:val="22"/>
              </w:rPr>
              <w:t xml:space="preserve"> of </w:t>
            </w:r>
            <w:proofErr w:type="spellStart"/>
            <w:r w:rsidRPr="007C0883">
              <w:rPr>
                <w:rFonts w:asciiTheme="minorHAnsi" w:hAnsiTheme="minorHAnsi"/>
                <w:szCs w:val="22"/>
              </w:rPr>
              <w:t>primary</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produced</w:t>
            </w:r>
            <w:proofErr w:type="spellEnd"/>
            <w:r w:rsidRPr="007C0883">
              <w:rPr>
                <w:rFonts w:asciiTheme="minorHAnsi" w:hAnsiTheme="minorHAnsi"/>
                <w:szCs w:val="22"/>
              </w:rPr>
              <w:t xml:space="preserve"> by </w:t>
            </w:r>
            <w:proofErr w:type="spellStart"/>
            <w:r w:rsidRPr="007C0883">
              <w:rPr>
                <w:rFonts w:asciiTheme="minorHAnsi" w:hAnsiTheme="minorHAnsi"/>
                <w:szCs w:val="22"/>
              </w:rPr>
              <w:t>supported</w:t>
            </w:r>
            <w:proofErr w:type="spellEnd"/>
            <w:r w:rsidRPr="007C0883">
              <w:rPr>
                <w:rFonts w:asciiTheme="minorHAnsi" w:hAnsiTheme="minorHAnsi"/>
                <w:szCs w:val="22"/>
              </w:rPr>
              <w:t xml:space="preserve"> </w:t>
            </w:r>
            <w:proofErr w:type="spellStart"/>
            <w:r w:rsidRPr="007C0883">
              <w:rPr>
                <w:rFonts w:asciiTheme="minorHAnsi" w:hAnsiTheme="minorHAnsi"/>
                <w:szCs w:val="22"/>
              </w:rPr>
              <w:t>facilities</w:t>
            </w:r>
            <w:proofErr w:type="spellEnd"/>
            <w:r w:rsidRPr="007C0883">
              <w:rPr>
                <w:rFonts w:asciiTheme="minorHAnsi" w:hAnsiTheme="minorHAnsi"/>
                <w:szCs w:val="22"/>
              </w:rPr>
              <w:t xml:space="preserve"> in a </w:t>
            </w:r>
            <w:proofErr w:type="spellStart"/>
            <w:r w:rsidRPr="007C0883">
              <w:rPr>
                <w:rFonts w:asciiTheme="minorHAnsi" w:hAnsiTheme="minorHAnsi"/>
                <w:szCs w:val="22"/>
              </w:rPr>
              <w:t>given</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either</w:t>
            </w:r>
            <w:proofErr w:type="spellEnd"/>
            <w:r w:rsidRPr="007C0883">
              <w:rPr>
                <w:rFonts w:asciiTheme="minorHAnsi" w:hAnsiTheme="minorHAnsi"/>
                <w:szCs w:val="22"/>
              </w:rPr>
              <w:t xml:space="preserve"> one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following</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the </w:t>
            </w:r>
            <w:proofErr w:type="spellStart"/>
            <w:r w:rsidRPr="007C0883">
              <w:rPr>
                <w:rFonts w:asciiTheme="minorHAnsi" w:hAnsiTheme="minorHAnsi"/>
                <w:szCs w:val="22"/>
              </w:rPr>
              <w:t>calendar</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after</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supposed</w:t>
            </w:r>
            <w:proofErr w:type="spellEnd"/>
            <w:r w:rsidRPr="007C0883">
              <w:rPr>
                <w:rFonts w:asciiTheme="minorHAnsi" w:hAnsiTheme="minorHAnsi"/>
                <w:szCs w:val="22"/>
              </w:rPr>
              <w:t xml:space="preserve"> to be GHG </w:t>
            </w:r>
            <w:proofErr w:type="spellStart"/>
            <w:r w:rsidRPr="007C0883">
              <w:rPr>
                <w:rFonts w:asciiTheme="minorHAnsi" w:hAnsiTheme="minorHAnsi"/>
                <w:szCs w:val="22"/>
              </w:rPr>
              <w:t>neutral</w:t>
            </w:r>
            <w:proofErr w:type="spellEnd"/>
            <w:r w:rsidRPr="007C0883">
              <w:rPr>
                <w:rFonts w:asciiTheme="minorHAnsi" w:hAnsiTheme="minorHAnsi"/>
                <w:szCs w:val="22"/>
              </w:rPr>
              <w:t xml:space="preserve"> and </w:t>
            </w:r>
            <w:proofErr w:type="spellStart"/>
            <w:r w:rsidRPr="007C0883">
              <w:rPr>
                <w:rFonts w:asciiTheme="minorHAnsi" w:hAnsiTheme="minorHAnsi"/>
                <w:szCs w:val="22"/>
              </w:rPr>
              <w:t>replacing</w:t>
            </w:r>
            <w:proofErr w:type="spellEnd"/>
            <w:r w:rsidRPr="007C0883">
              <w:rPr>
                <w:rFonts w:asciiTheme="minorHAnsi" w:hAnsiTheme="minorHAnsi"/>
                <w:szCs w:val="22"/>
              </w:rPr>
              <w:t xml:space="preserve">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of </w:t>
            </w:r>
            <w:proofErr w:type="spellStart"/>
            <w:r w:rsidRPr="007C0883">
              <w:rPr>
                <w:rFonts w:asciiTheme="minorHAnsi" w:hAnsiTheme="minorHAnsi"/>
                <w:szCs w:val="22"/>
              </w:rPr>
              <w:t>nonrenewable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the MS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GHG </w:t>
            </w:r>
            <w:proofErr w:type="spellStart"/>
            <w:r w:rsidRPr="007C0883">
              <w:rPr>
                <w:rFonts w:asciiTheme="minorHAnsi" w:hAnsiTheme="minorHAnsi"/>
                <w:szCs w:val="22"/>
              </w:rPr>
              <w:t>emission</w:t>
            </w:r>
            <w:proofErr w:type="spellEnd"/>
            <w:r w:rsidRPr="007C0883">
              <w:rPr>
                <w:rFonts w:asciiTheme="minorHAnsi" w:hAnsiTheme="minorHAnsi"/>
                <w:szCs w:val="22"/>
              </w:rPr>
              <w:t xml:space="preserve"> per unit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w:t>
            </w:r>
          </w:p>
          <w:p w:rsidR="00924BAF" w:rsidRPr="009313DB" w:rsidRDefault="00924BAF" w:rsidP="00912375">
            <w:pPr>
              <w:autoSpaceDE w:val="0"/>
              <w:autoSpaceDN w:val="0"/>
              <w:adjustRightInd w:val="0"/>
              <w:spacing w:before="0" w:line="240" w:lineRule="auto"/>
              <w:jc w:val="both"/>
              <w:rPr>
                <w:rFonts w:asciiTheme="minorHAnsi" w:hAnsiTheme="minorHAnsi"/>
                <w:szCs w:val="22"/>
              </w:rPr>
            </w:pPr>
            <w:r w:rsidRPr="007C0883">
              <w:rPr>
                <w:rFonts w:asciiTheme="minorHAnsi" w:hAnsiTheme="minorHAnsi"/>
                <w:szCs w:val="22"/>
              </w:rPr>
              <w:t xml:space="preserve">In </w:t>
            </w:r>
            <w:proofErr w:type="spellStart"/>
            <w:r w:rsidRPr="007C0883">
              <w:rPr>
                <w:rFonts w:asciiTheme="minorHAnsi" w:hAnsiTheme="minorHAnsi"/>
                <w:szCs w:val="22"/>
              </w:rPr>
              <w:t>case</w:t>
            </w:r>
            <w:proofErr w:type="spellEnd"/>
            <w:r w:rsidRPr="007C0883">
              <w:rPr>
                <w:rFonts w:asciiTheme="minorHAnsi" w:hAnsiTheme="minorHAnsi"/>
                <w:szCs w:val="22"/>
              </w:rPr>
              <w:t xml:space="preserve"> of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saving</w:t>
            </w:r>
            <w:proofErr w:type="spellEnd"/>
            <w:r w:rsidRPr="007C0883">
              <w:rPr>
                <w:rFonts w:asciiTheme="minorHAnsi" w:hAnsiTheme="minorHAnsi"/>
                <w:szCs w:val="22"/>
              </w:rPr>
              <w:t xml:space="preserve"> </w:t>
            </w:r>
            <w:proofErr w:type="spellStart"/>
            <w:r w:rsidRPr="007C0883">
              <w:rPr>
                <w:rFonts w:asciiTheme="minorHAnsi" w:hAnsiTheme="minorHAnsi"/>
                <w:szCs w:val="22"/>
              </w:rPr>
              <w:t>measures</w:t>
            </w:r>
            <w:proofErr w:type="spellEnd"/>
            <w:r w:rsidRPr="007C0883">
              <w:rPr>
                <w:rFonts w:asciiTheme="minorHAnsi" w:hAnsiTheme="minorHAnsi"/>
                <w:szCs w:val="22"/>
              </w:rPr>
              <w:t xml:space="preserve">, the </w:t>
            </w:r>
            <w:proofErr w:type="spellStart"/>
            <w:r w:rsidRPr="007C0883">
              <w:rPr>
                <w:rFonts w:asciiTheme="minorHAnsi" w:hAnsiTheme="minorHAnsi"/>
                <w:szCs w:val="22"/>
              </w:rPr>
              <w:lastRenderedPageBreak/>
              <w:t>estimate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based</w:t>
            </w:r>
            <w:proofErr w:type="spellEnd"/>
            <w:r w:rsidRPr="007C0883">
              <w:rPr>
                <w:rFonts w:asciiTheme="minorHAnsi" w:hAnsiTheme="minorHAnsi"/>
                <w:szCs w:val="22"/>
              </w:rPr>
              <w:t xml:space="preserve"> on the </w:t>
            </w:r>
            <w:proofErr w:type="spellStart"/>
            <w:r w:rsidRPr="007C0883">
              <w:rPr>
                <w:rFonts w:asciiTheme="minorHAnsi" w:hAnsiTheme="minorHAnsi"/>
                <w:szCs w:val="22"/>
              </w:rPr>
              <w:t>amount</w:t>
            </w:r>
            <w:proofErr w:type="spellEnd"/>
            <w:r w:rsidRPr="007C0883">
              <w:rPr>
                <w:rFonts w:asciiTheme="minorHAnsi" w:hAnsiTheme="minorHAnsi"/>
                <w:szCs w:val="22"/>
              </w:rPr>
              <w:t xml:space="preserve"> of </w:t>
            </w:r>
            <w:proofErr w:type="spellStart"/>
            <w:r w:rsidRPr="007C0883">
              <w:rPr>
                <w:rFonts w:asciiTheme="minorHAnsi" w:hAnsiTheme="minorHAnsi"/>
                <w:szCs w:val="22"/>
              </w:rPr>
              <w:t>primary</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in a </w:t>
            </w:r>
            <w:proofErr w:type="spellStart"/>
            <w:r w:rsidRPr="007C0883">
              <w:rPr>
                <w:rFonts w:asciiTheme="minorHAnsi" w:hAnsiTheme="minorHAnsi"/>
                <w:szCs w:val="22"/>
              </w:rPr>
              <w:t>given</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supported</w:t>
            </w:r>
            <w:proofErr w:type="spellEnd"/>
            <w:r w:rsidRPr="007C0883">
              <w:rPr>
                <w:rFonts w:asciiTheme="minorHAnsi" w:hAnsiTheme="minorHAnsi"/>
                <w:szCs w:val="22"/>
              </w:rPr>
              <w:t xml:space="preserve"> </w:t>
            </w:r>
            <w:proofErr w:type="spellStart"/>
            <w:r w:rsidRPr="007C0883">
              <w:rPr>
                <w:rFonts w:asciiTheme="minorHAnsi" w:hAnsiTheme="minorHAnsi"/>
                <w:szCs w:val="22"/>
              </w:rPr>
              <w:t>operations</w:t>
            </w:r>
            <w:proofErr w:type="spellEnd"/>
            <w:r w:rsidRPr="007C0883">
              <w:rPr>
                <w:rFonts w:asciiTheme="minorHAnsi" w:hAnsiTheme="minorHAnsi"/>
                <w:szCs w:val="22"/>
              </w:rPr>
              <w:t xml:space="preserve"> (</w:t>
            </w:r>
            <w:proofErr w:type="spellStart"/>
            <w:r w:rsidRPr="007C0883">
              <w:rPr>
                <w:rFonts w:asciiTheme="minorHAnsi" w:hAnsiTheme="minorHAnsi"/>
                <w:szCs w:val="22"/>
              </w:rPr>
              <w:t>either</w:t>
            </w:r>
            <w:proofErr w:type="spellEnd"/>
            <w:r w:rsidRPr="007C0883">
              <w:rPr>
                <w:rFonts w:asciiTheme="minorHAnsi" w:hAnsiTheme="minorHAnsi"/>
                <w:szCs w:val="22"/>
              </w:rPr>
              <w:t xml:space="preserve"> one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following</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the </w:t>
            </w:r>
            <w:proofErr w:type="spellStart"/>
            <w:r w:rsidRPr="007C0883">
              <w:rPr>
                <w:rFonts w:asciiTheme="minorHAnsi" w:hAnsiTheme="minorHAnsi"/>
                <w:szCs w:val="22"/>
              </w:rPr>
              <w:t>calendar</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after</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Saved</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supposed</w:t>
            </w:r>
            <w:proofErr w:type="spellEnd"/>
            <w:r w:rsidRPr="007C0883">
              <w:rPr>
                <w:rFonts w:asciiTheme="minorHAnsi" w:hAnsiTheme="minorHAnsi"/>
                <w:szCs w:val="22"/>
              </w:rPr>
              <w:t xml:space="preserve"> to be </w:t>
            </w:r>
            <w:proofErr w:type="spellStart"/>
            <w:r w:rsidRPr="007C0883">
              <w:rPr>
                <w:rFonts w:asciiTheme="minorHAnsi" w:hAnsiTheme="minorHAnsi"/>
                <w:szCs w:val="22"/>
              </w:rPr>
              <w:t>replacing</w:t>
            </w:r>
            <w:proofErr w:type="spellEnd"/>
            <w:r w:rsidRPr="007C0883">
              <w:rPr>
                <w:rFonts w:asciiTheme="minorHAnsi" w:hAnsiTheme="minorHAnsi"/>
                <w:szCs w:val="22"/>
              </w:rPr>
              <w:t xml:space="preserve">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the MS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GHG </w:t>
            </w:r>
            <w:proofErr w:type="spellStart"/>
            <w:r w:rsidRPr="007C0883">
              <w:rPr>
                <w:rFonts w:asciiTheme="minorHAnsi" w:hAnsiTheme="minorHAnsi"/>
                <w:szCs w:val="22"/>
              </w:rPr>
              <w:t>emission</w:t>
            </w:r>
            <w:proofErr w:type="spellEnd"/>
            <w:r w:rsidRPr="007C0883">
              <w:rPr>
                <w:rFonts w:asciiTheme="minorHAnsi" w:hAnsiTheme="minorHAnsi"/>
                <w:szCs w:val="22"/>
              </w:rPr>
              <w:t xml:space="preserve"> per unit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w:t>
            </w:r>
          </w:p>
        </w:tc>
        <w:tc>
          <w:tcPr>
            <w:tcW w:w="821" w:type="pct"/>
          </w:tcPr>
          <w:p w:rsidR="00924BAF" w:rsidRPr="009313DB" w:rsidRDefault="00924BAF" w:rsidP="00912375">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lastRenderedPageBreak/>
              <w:t>RPO WD 2014-2020</w:t>
            </w:r>
          </w:p>
        </w:tc>
      </w:tr>
      <w:tr w:rsidR="00065DCD" w:rsidRPr="009313DB" w:rsidTr="00065DCD">
        <w:trPr>
          <w:cantSplit/>
          <w:trHeight w:val="20"/>
          <w:jc w:val="center"/>
        </w:trPr>
        <w:tc>
          <w:tcPr>
            <w:tcW w:w="1432" w:type="pct"/>
            <w:shd w:val="clear" w:color="auto" w:fill="auto"/>
          </w:tcPr>
          <w:p w:rsidR="00065DCD" w:rsidRPr="009313DB" w:rsidRDefault="004839B2" w:rsidP="004839B2">
            <w:pPr>
              <w:pStyle w:val="Default"/>
              <w:rPr>
                <w:rFonts w:asciiTheme="minorHAnsi" w:hAnsiTheme="minorHAnsi"/>
                <w:sz w:val="22"/>
                <w:szCs w:val="22"/>
              </w:rPr>
            </w:pPr>
            <w:r w:rsidRPr="004839B2">
              <w:rPr>
                <w:rFonts w:asciiTheme="minorHAnsi" w:hAnsiTheme="minorHAnsi"/>
                <w:sz w:val="22"/>
                <w:szCs w:val="22"/>
              </w:rPr>
              <w:lastRenderedPageBreak/>
              <w:t>Ilość z</w:t>
            </w:r>
            <w:r>
              <w:rPr>
                <w:rFonts w:asciiTheme="minorHAnsi" w:hAnsiTheme="minorHAnsi"/>
                <w:sz w:val="22"/>
                <w:szCs w:val="22"/>
              </w:rPr>
              <w:t xml:space="preserve">aoszczędzonej energii cieplnej </w:t>
            </w:r>
          </w:p>
        </w:tc>
        <w:tc>
          <w:tcPr>
            <w:tcW w:w="763" w:type="pct"/>
          </w:tcPr>
          <w:p w:rsidR="00065DCD" w:rsidRPr="009313DB" w:rsidRDefault="004839B2" w:rsidP="0035001C">
            <w:pPr>
              <w:spacing w:before="0" w:line="240" w:lineRule="auto"/>
              <w:rPr>
                <w:rFonts w:asciiTheme="minorHAnsi" w:hAnsiTheme="minorHAnsi"/>
                <w:szCs w:val="22"/>
              </w:rPr>
            </w:pPr>
            <w:r w:rsidRPr="004839B2">
              <w:rPr>
                <w:rFonts w:asciiTheme="minorHAnsi" w:hAnsiTheme="minorHAnsi"/>
                <w:szCs w:val="22"/>
              </w:rPr>
              <w:t>GJ/rok</w:t>
            </w:r>
          </w:p>
        </w:tc>
        <w:tc>
          <w:tcPr>
            <w:tcW w:w="1984" w:type="pct"/>
            <w:shd w:val="clear" w:color="auto" w:fill="auto"/>
            <w:vAlign w:val="center"/>
          </w:tcPr>
          <w:p w:rsidR="00C758A2" w:rsidRPr="00C758A2" w:rsidRDefault="00C758A2" w:rsidP="007E48B4">
            <w:pPr>
              <w:spacing w:before="0" w:line="240" w:lineRule="auto"/>
              <w:jc w:val="both"/>
              <w:rPr>
                <w:rFonts w:asciiTheme="minorHAnsi" w:hAnsiTheme="minorHAnsi"/>
                <w:szCs w:val="22"/>
              </w:rPr>
            </w:pPr>
            <w:r w:rsidRPr="00C758A2">
              <w:rPr>
                <w:rFonts w:asciiTheme="minorHAnsi" w:hAnsiTheme="minorHAnsi"/>
                <w:szCs w:val="22"/>
              </w:rPr>
              <w:t>Ilość zaoszczędzonej w wyniku realizacji projektu energii cieplnej w dystrybucji w ciągu pełnego roku po zakończeniu projektu.</w:t>
            </w:r>
          </w:p>
          <w:p w:rsidR="00C758A2"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 xml:space="preserve">W przypadku przedsiębiorstw produkcyjnych: różnica między rocznym zużyciem energii cieplnej </w:t>
            </w:r>
          </w:p>
          <w:p w:rsidR="00C758A2"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 xml:space="preserve">w roku bazowym w stosunku do rocznego zużycia energii cieplnej po zakończeniu projektu, skorygowana w przypadku zmiany wielkości produkcji. </w:t>
            </w:r>
          </w:p>
          <w:p w:rsidR="00C758A2"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cieplnej  w roku bazowym w stosunku do rocznego zużycia energii cieplnej po zakończeniu projektu.</w:t>
            </w:r>
          </w:p>
          <w:p w:rsidR="00065DCD"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Energia cieplna – energia w wodzie gorącej, parze lub w innych nośnikach.</w:t>
            </w:r>
          </w:p>
        </w:tc>
        <w:tc>
          <w:tcPr>
            <w:tcW w:w="821" w:type="pct"/>
          </w:tcPr>
          <w:p w:rsidR="00065DCD" w:rsidRPr="00C758A2" w:rsidRDefault="00274058" w:rsidP="0035001C">
            <w:pPr>
              <w:spacing w:line="240" w:lineRule="auto"/>
              <w:jc w:val="both"/>
              <w:rPr>
                <w:rFonts w:asciiTheme="minorHAnsi" w:eastAsiaTheme="minorHAnsi" w:hAnsiTheme="minorHAnsi" w:cs="Arial"/>
                <w:szCs w:val="22"/>
                <w:lang w:eastAsia="en-US"/>
              </w:rPr>
            </w:pPr>
            <w:r w:rsidRPr="00C758A2">
              <w:rPr>
                <w:rFonts w:asciiTheme="minorHAnsi" w:eastAsiaTheme="minorHAnsi" w:hAnsiTheme="minorHAnsi" w:cs="Arial"/>
                <w:szCs w:val="22"/>
                <w:lang w:eastAsia="en-US"/>
              </w:rPr>
              <w:t>SZOOP RPO WD 2014-2020</w:t>
            </w:r>
          </w:p>
        </w:tc>
      </w:tr>
      <w:tr w:rsidR="004839B2" w:rsidRPr="009313DB" w:rsidTr="00065DCD">
        <w:trPr>
          <w:cantSplit/>
          <w:trHeight w:val="20"/>
          <w:jc w:val="center"/>
        </w:trPr>
        <w:tc>
          <w:tcPr>
            <w:tcW w:w="1432" w:type="pct"/>
            <w:shd w:val="clear" w:color="auto" w:fill="auto"/>
          </w:tcPr>
          <w:p w:rsidR="004839B2" w:rsidRPr="009313DB" w:rsidRDefault="001711EA" w:rsidP="001711EA">
            <w:pPr>
              <w:pStyle w:val="Default"/>
              <w:rPr>
                <w:rFonts w:asciiTheme="minorHAnsi" w:hAnsiTheme="minorHAnsi"/>
                <w:sz w:val="22"/>
                <w:szCs w:val="22"/>
              </w:rPr>
            </w:pPr>
            <w:r w:rsidRPr="001711EA">
              <w:rPr>
                <w:rFonts w:asciiTheme="minorHAnsi" w:hAnsiTheme="minorHAnsi"/>
                <w:sz w:val="22"/>
                <w:szCs w:val="22"/>
              </w:rPr>
              <w:lastRenderedPageBreak/>
              <w:t xml:space="preserve">Ilość zaoszczędzonej energii elektrycznej </w:t>
            </w:r>
          </w:p>
        </w:tc>
        <w:tc>
          <w:tcPr>
            <w:tcW w:w="763" w:type="pct"/>
          </w:tcPr>
          <w:p w:rsidR="004839B2" w:rsidRPr="009313DB" w:rsidRDefault="001711EA" w:rsidP="0035001C">
            <w:pPr>
              <w:spacing w:before="0" w:line="240" w:lineRule="auto"/>
              <w:rPr>
                <w:rFonts w:asciiTheme="minorHAnsi" w:hAnsiTheme="minorHAnsi"/>
                <w:szCs w:val="22"/>
              </w:rPr>
            </w:pPr>
            <w:r w:rsidRPr="001711EA">
              <w:rPr>
                <w:rFonts w:asciiTheme="minorHAnsi" w:hAnsiTheme="minorHAnsi"/>
                <w:szCs w:val="22"/>
              </w:rPr>
              <w:t>MWh/rok</w:t>
            </w:r>
          </w:p>
        </w:tc>
        <w:tc>
          <w:tcPr>
            <w:tcW w:w="1984" w:type="pct"/>
            <w:shd w:val="clear" w:color="auto" w:fill="auto"/>
            <w:vAlign w:val="center"/>
          </w:tcPr>
          <w:p w:rsidR="00C758A2" w:rsidRPr="00C758A2" w:rsidRDefault="00C758A2" w:rsidP="007E48B4">
            <w:pPr>
              <w:spacing w:before="0" w:line="240" w:lineRule="auto"/>
              <w:jc w:val="both"/>
              <w:rPr>
                <w:rFonts w:asciiTheme="minorHAnsi" w:hAnsiTheme="minorHAnsi"/>
                <w:szCs w:val="22"/>
              </w:rPr>
            </w:pPr>
            <w:r w:rsidRPr="00C758A2">
              <w:rPr>
                <w:rFonts w:asciiTheme="minorHAnsi" w:hAnsiTheme="minorHAnsi"/>
                <w:szCs w:val="22"/>
              </w:rPr>
              <w:t xml:space="preserve">Ilość zaoszczędzonej w wyniku realizacji projektu energii elektrycznej w dystrybucji w ciągu pełnego roku po zakończeniu projektu w stosunku do roku bazowego. </w:t>
            </w:r>
          </w:p>
          <w:p w:rsidR="00C758A2"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W przypadku przedsiębiorstw produkcyjnych: różnica między rocznym zużyciem energii elektrycznej</w:t>
            </w:r>
            <w:r w:rsidR="008B571F">
              <w:rPr>
                <w:rFonts w:asciiTheme="minorHAnsi" w:hAnsiTheme="minorHAnsi"/>
                <w:szCs w:val="22"/>
              </w:rPr>
              <w:t xml:space="preserve"> </w:t>
            </w:r>
            <w:r w:rsidRPr="00C758A2">
              <w:rPr>
                <w:rFonts w:asciiTheme="minorHAnsi" w:hAnsiTheme="minorHAnsi"/>
                <w:szCs w:val="22"/>
              </w:rPr>
              <w:t xml:space="preserve">w roku bazowym w stosunku do rocznego zużycia energii elektrycznej po zakończeniu projektu, skorygowana w przypadku zmiany wielkości produkcji. </w:t>
            </w:r>
          </w:p>
          <w:p w:rsidR="004839B2" w:rsidRPr="00C758A2" w:rsidRDefault="00C758A2" w:rsidP="00C758A2">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elektrycznej w roku bazowym w stosunku do rocznego zużycia energii elektrycznej po zakończeniu projektu.</w:t>
            </w:r>
          </w:p>
        </w:tc>
        <w:tc>
          <w:tcPr>
            <w:tcW w:w="821" w:type="pct"/>
          </w:tcPr>
          <w:p w:rsidR="004839B2" w:rsidRPr="009313DB" w:rsidRDefault="001711EA" w:rsidP="0035001C">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SZOOP RPO WD 2014-2020</w:t>
            </w:r>
          </w:p>
        </w:tc>
      </w:tr>
      <w:tr w:rsidR="00DF3CC5" w:rsidRPr="009313DB" w:rsidTr="00272EC7">
        <w:trPr>
          <w:trHeight w:val="20"/>
          <w:jc w:val="center"/>
        </w:trPr>
        <w:tc>
          <w:tcPr>
            <w:tcW w:w="1432" w:type="pct"/>
            <w:shd w:val="clear" w:color="auto" w:fill="auto"/>
          </w:tcPr>
          <w:p w:rsidR="00EF6053" w:rsidRDefault="00EF6053" w:rsidP="0035001C">
            <w:pPr>
              <w:pStyle w:val="Default"/>
              <w:rPr>
                <w:rFonts w:asciiTheme="minorHAnsi" w:hAnsiTheme="minorHAnsi"/>
                <w:sz w:val="22"/>
                <w:szCs w:val="22"/>
              </w:rPr>
            </w:pPr>
            <w:r w:rsidRPr="00EF6053">
              <w:rPr>
                <w:rFonts w:asciiTheme="minorHAnsi" w:hAnsiTheme="minorHAnsi"/>
                <w:sz w:val="22"/>
                <w:szCs w:val="22"/>
              </w:rPr>
              <w:t>Wzrost zatrudnienia we wspieranych przedsiębiorstwach O/K/M</w:t>
            </w:r>
          </w:p>
          <w:p w:rsidR="00DF3CC5" w:rsidRPr="009313DB" w:rsidRDefault="00DF3CC5" w:rsidP="0035001C">
            <w:pPr>
              <w:pStyle w:val="Default"/>
              <w:rPr>
                <w:rFonts w:asciiTheme="minorHAnsi" w:hAnsiTheme="minorHAnsi"/>
                <w:sz w:val="22"/>
                <w:szCs w:val="22"/>
              </w:rPr>
            </w:pPr>
          </w:p>
        </w:tc>
        <w:tc>
          <w:tcPr>
            <w:tcW w:w="763" w:type="pct"/>
          </w:tcPr>
          <w:p w:rsidR="00DF3CC5" w:rsidRPr="009313DB" w:rsidRDefault="00DF3CC5" w:rsidP="0035001C">
            <w:pPr>
              <w:spacing w:before="0" w:line="240" w:lineRule="auto"/>
              <w:rPr>
                <w:rFonts w:asciiTheme="minorHAnsi" w:hAnsiTheme="minorHAnsi"/>
                <w:szCs w:val="22"/>
              </w:rPr>
            </w:pPr>
            <w:r w:rsidRPr="009313DB">
              <w:rPr>
                <w:rFonts w:asciiTheme="minorHAnsi" w:hAnsiTheme="minorHAnsi"/>
                <w:szCs w:val="22"/>
              </w:rPr>
              <w:t>EPC</w:t>
            </w:r>
          </w:p>
        </w:tc>
        <w:tc>
          <w:tcPr>
            <w:tcW w:w="1984" w:type="pct"/>
            <w:shd w:val="clear" w:color="auto" w:fill="auto"/>
            <w:vAlign w:val="center"/>
          </w:tcPr>
          <w:p w:rsidR="00A42104" w:rsidRPr="00226B74" w:rsidRDefault="00A42104" w:rsidP="00C50890">
            <w:pPr>
              <w:spacing w:before="0" w:line="100" w:lineRule="atLeast"/>
              <w:jc w:val="both"/>
              <w:rPr>
                <w:rFonts w:ascii="Calibri" w:hAnsi="Calibri"/>
              </w:rPr>
            </w:pPr>
            <w:r w:rsidRPr="00226B74">
              <w:rPr>
                <w:rFonts w:ascii="Calibri" w:hAnsi="Calibri"/>
                <w:szCs w:val="22"/>
              </w:rPr>
              <w:t xml:space="preserve">Tłumaczenie robocze: </w:t>
            </w:r>
            <w:r w:rsidRPr="00226B74">
              <w:rPr>
                <w:rFonts w:ascii="Calibri" w:hAnsi="Calibri"/>
              </w:rPr>
              <w:t xml:space="preserve">Nowe miejsca pracy brutto we wspartych  przedsiębiorstwach wyrażone w ekwiwalencie pełnego czasu pracy (EPC). </w:t>
            </w:r>
          </w:p>
          <w:p w:rsidR="00A42104" w:rsidRPr="00226B74" w:rsidRDefault="00A42104" w:rsidP="00A42104">
            <w:pPr>
              <w:spacing w:line="100" w:lineRule="atLeast"/>
              <w:jc w:val="both"/>
              <w:rPr>
                <w:rFonts w:ascii="Calibri" w:hAnsi="Calibri"/>
              </w:rPr>
            </w:pPr>
            <w:r w:rsidRPr="00226B74">
              <w:rPr>
                <w:rFonts w:ascii="Calibri" w:hAnsi="Calibri"/>
              </w:rPr>
              <w:t xml:space="preserve">Wskaźnik ukazuje zmianę "przed-po" </w:t>
            </w:r>
            <w:r w:rsidRPr="00226B74">
              <w:rPr>
                <w:rFonts w:ascii="Calibri" w:hAnsi="Calibri"/>
              </w:rPr>
              <w:br/>
              <w:t xml:space="preserve">i obejmuje część wzrostu zatrudnienia </w:t>
            </w:r>
            <w:r w:rsidRPr="00226B74">
              <w:rPr>
                <w:rFonts w:ascii="Calibri" w:hAnsi="Calibri"/>
              </w:rPr>
              <w:br/>
              <w:t xml:space="preserve">w przedsiębiorstwie będącego bezpośrednim skutkiem zakończenia realizacji projektu (nie są wliczani pracownicy zatrudnieni do realizacji projektu). </w:t>
            </w:r>
          </w:p>
          <w:p w:rsidR="00A42104" w:rsidRPr="00226B74" w:rsidRDefault="00A42104" w:rsidP="00A42104">
            <w:pPr>
              <w:spacing w:after="240" w:line="100" w:lineRule="atLeast"/>
              <w:jc w:val="both"/>
              <w:rPr>
                <w:rFonts w:ascii="Calibri" w:hAnsi="Calibri"/>
              </w:rPr>
            </w:pPr>
            <w:r w:rsidRPr="00226B74">
              <w:rPr>
                <w:rFonts w:ascii="Calibri" w:hAnsi="Calibri"/>
              </w:rPr>
              <w:t xml:space="preserve">Uwzględnia się obsadzone miejsca pracy (wakaty nie są liczone), które zwiększają łączną liczbę miejsc pracy </w:t>
            </w:r>
            <w:r w:rsidRPr="00226B74">
              <w:rPr>
                <w:rFonts w:ascii="Calibri" w:hAnsi="Calibri"/>
              </w:rPr>
              <w:br/>
              <w:t xml:space="preserve">w przedsiębiorstwie. Brak wzrostu </w:t>
            </w:r>
            <w:r w:rsidRPr="00226B74">
              <w:rPr>
                <w:rFonts w:ascii="Calibri" w:hAnsi="Calibri"/>
              </w:rPr>
              <w:br/>
              <w:t xml:space="preserve">w całkowitym zatrudnieniu </w:t>
            </w:r>
            <w:r w:rsidRPr="00226B74">
              <w:rPr>
                <w:rFonts w:ascii="Calibri" w:hAnsi="Calibri"/>
              </w:rPr>
              <w:br/>
              <w:t>w przedsiębiorstwie oznacza, że wartość wskaźnika jest równa zero, co traktuje się jako wyrównanie miejsc pracy, a nie wzrost. Nie wlicza się miejsc pracy, np. utrzymanych dzięki realizacji projektu.</w:t>
            </w:r>
          </w:p>
          <w:p w:rsidR="00A42104" w:rsidRPr="00226B74" w:rsidRDefault="00A42104" w:rsidP="00A42104">
            <w:pPr>
              <w:spacing w:after="240" w:line="100" w:lineRule="atLeast"/>
              <w:jc w:val="both"/>
              <w:rPr>
                <w:rFonts w:ascii="Calibri" w:hAnsi="Calibri"/>
              </w:rPr>
            </w:pPr>
            <w:r w:rsidRPr="00226B74">
              <w:rPr>
                <w:rFonts w:ascii="Calibri" w:hAnsi="Calibri"/>
              </w:rPr>
              <w:t xml:space="preserve">Brutto: Nie uwzględniamy miejsca pracy otrzymanego w wyniku zmian wewnątrz przedsiębiorstwa, dopóki nie przyczyni się to do całkowitego </w:t>
            </w:r>
            <w:r w:rsidRPr="00226B74">
              <w:rPr>
                <w:rFonts w:ascii="Calibri" w:hAnsi="Calibri"/>
              </w:rPr>
              <w:lastRenderedPageBreak/>
              <w:t xml:space="preserve">wzrostu liczby miejsc pracy w przedsiębiorstwie. Wskaźnik powinien być zastosowany, jeżeli wzrost zatrudnienia może być wiarygodnie przypisany do wsparcia </w:t>
            </w:r>
            <w:r w:rsidRPr="00226B74">
              <w:rPr>
                <w:rFonts w:ascii="Calibri" w:hAnsi="Calibri"/>
              </w:rPr>
              <w:br/>
              <w:t>w ramach projektu.</w:t>
            </w:r>
          </w:p>
          <w:p w:rsidR="009C5E72" w:rsidRPr="007650AC" w:rsidRDefault="009C5E72" w:rsidP="009C5E72">
            <w:pPr>
              <w:spacing w:line="240" w:lineRule="auto"/>
              <w:jc w:val="both"/>
              <w:rPr>
                <w:rFonts w:asciiTheme="minorHAnsi" w:hAnsiTheme="minorHAnsi"/>
                <w:szCs w:val="22"/>
                <w:lang w:val="en-US"/>
              </w:rPr>
            </w:pPr>
            <w:r w:rsidRPr="007650AC">
              <w:rPr>
                <w:rFonts w:asciiTheme="minorHAnsi" w:hAnsiTheme="minorHAnsi"/>
                <w:szCs w:val="22"/>
                <w:lang w:val="en-US"/>
              </w:rPr>
              <w:t xml:space="preserve">Gross new working positions in supported enterprises in full time equivalents (FTE). </w:t>
            </w:r>
          </w:p>
          <w:p w:rsidR="009C5E72" w:rsidRPr="007650AC" w:rsidRDefault="009C5E72" w:rsidP="009C5E72">
            <w:pPr>
              <w:spacing w:line="240" w:lineRule="auto"/>
              <w:jc w:val="both"/>
              <w:rPr>
                <w:rFonts w:asciiTheme="minorHAnsi" w:hAnsiTheme="minorHAnsi"/>
                <w:szCs w:val="22"/>
                <w:lang w:val="en-US"/>
              </w:rPr>
            </w:pPr>
            <w:r w:rsidRPr="007650AC">
              <w:rPr>
                <w:rFonts w:asciiTheme="minorHAnsi" w:hAnsiTheme="minorHAnsi"/>
                <w:szCs w:val="22"/>
                <w:lang w:val="en-US"/>
              </w:rPr>
              <w:t>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w:t>
            </w:r>
          </w:p>
          <w:p w:rsidR="009C5E72" w:rsidRPr="007650AC" w:rsidRDefault="009C5E72" w:rsidP="009C5E72">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Gross: Not counting the origin of the jobholder as long as it directly contributes to the increase of total jobs in the </w:t>
            </w:r>
            <w:proofErr w:type="spellStart"/>
            <w:r w:rsidRPr="007650AC">
              <w:rPr>
                <w:rFonts w:asciiTheme="minorHAnsi" w:hAnsiTheme="minorHAnsi"/>
                <w:szCs w:val="22"/>
                <w:lang w:val="en-US"/>
              </w:rPr>
              <w:t>organisation</w:t>
            </w:r>
            <w:proofErr w:type="spellEnd"/>
            <w:r w:rsidRPr="007650AC">
              <w:rPr>
                <w:rFonts w:asciiTheme="minorHAnsi" w:hAnsiTheme="minorHAnsi"/>
                <w:szCs w:val="22"/>
                <w:lang w:val="en-US"/>
              </w:rPr>
              <w:t xml:space="preserve">. The indicator should be used if the employment increase can plausibly be attributed to the support. </w:t>
            </w:r>
          </w:p>
          <w:p w:rsidR="00AA4C46" w:rsidRPr="00A42104" w:rsidRDefault="009C5E72" w:rsidP="00A42104">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Full-time equivalent: Jobs can be full time, </w:t>
            </w:r>
            <w:proofErr w:type="spellStart"/>
            <w:r w:rsidRPr="007650AC">
              <w:rPr>
                <w:rFonts w:asciiTheme="minorHAnsi" w:hAnsiTheme="minorHAnsi"/>
                <w:szCs w:val="22"/>
                <w:lang w:val="en-US"/>
              </w:rPr>
              <w:t>parttime</w:t>
            </w:r>
            <w:proofErr w:type="spellEnd"/>
            <w:r w:rsidRPr="007650AC">
              <w:rPr>
                <w:rFonts w:asciiTheme="minorHAnsi" w:hAnsiTheme="minorHAnsi"/>
                <w:szCs w:val="22"/>
                <w:lang w:val="en-US"/>
              </w:rPr>
              <w:t xml:space="preserve"> or seasonal. Seasonal and part time jobs are to be converted to FTE using ILO/statistical/other standards. </w:t>
            </w:r>
          </w:p>
        </w:tc>
        <w:tc>
          <w:tcPr>
            <w:tcW w:w="821" w:type="pct"/>
          </w:tcPr>
          <w:p w:rsidR="00DF3CC5" w:rsidRPr="009313DB" w:rsidRDefault="00AA4C46" w:rsidP="0035001C">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lastRenderedPageBreak/>
              <w:t>horyzontalny</w:t>
            </w:r>
          </w:p>
        </w:tc>
      </w:tr>
      <w:tr w:rsidR="009C5E72" w:rsidRPr="009313DB" w:rsidTr="00065DCD">
        <w:trPr>
          <w:cantSplit/>
          <w:trHeight w:val="20"/>
          <w:jc w:val="center"/>
        </w:trPr>
        <w:tc>
          <w:tcPr>
            <w:tcW w:w="1432" w:type="pct"/>
            <w:shd w:val="clear" w:color="auto" w:fill="auto"/>
          </w:tcPr>
          <w:p w:rsidR="009C5E72" w:rsidRDefault="009C5E72" w:rsidP="00005946">
            <w:pPr>
              <w:pStyle w:val="Default"/>
              <w:rPr>
                <w:rFonts w:asciiTheme="minorHAnsi" w:hAnsiTheme="minorHAnsi" w:cs="ArialNarrow"/>
                <w:sz w:val="22"/>
                <w:szCs w:val="22"/>
              </w:rPr>
            </w:pPr>
            <w:r w:rsidRPr="003C55C7">
              <w:rPr>
                <w:rFonts w:asciiTheme="minorHAnsi" w:hAnsiTheme="minorHAnsi" w:cs="ArialNarrow"/>
                <w:sz w:val="22"/>
                <w:szCs w:val="22"/>
              </w:rPr>
              <w:lastRenderedPageBreak/>
              <w:t>Wzrost zatrudnienia we wspieranych podmiotach (innych niż przedsiębiorstwa)</w:t>
            </w:r>
          </w:p>
          <w:p w:rsidR="009C5E72" w:rsidRPr="003C55C7" w:rsidRDefault="009C5E72" w:rsidP="00005946">
            <w:pPr>
              <w:pStyle w:val="Default"/>
              <w:rPr>
                <w:rFonts w:asciiTheme="minorHAnsi" w:hAnsiTheme="minorHAnsi" w:cs="ArialNarrow"/>
                <w:sz w:val="22"/>
                <w:szCs w:val="22"/>
              </w:rPr>
            </w:pPr>
            <w:r>
              <w:rPr>
                <w:rFonts w:asciiTheme="minorHAnsi" w:hAnsiTheme="minorHAnsi" w:cs="ArialNarrow"/>
                <w:sz w:val="22"/>
                <w:szCs w:val="22"/>
              </w:rPr>
              <w:t>O/K/M</w:t>
            </w:r>
          </w:p>
        </w:tc>
        <w:tc>
          <w:tcPr>
            <w:tcW w:w="763" w:type="pct"/>
          </w:tcPr>
          <w:p w:rsidR="009C5E72" w:rsidRPr="003C55C7" w:rsidRDefault="009C5E72" w:rsidP="00005946">
            <w:pPr>
              <w:spacing w:before="0" w:line="240" w:lineRule="auto"/>
              <w:rPr>
                <w:rFonts w:asciiTheme="minorHAnsi" w:hAnsiTheme="minorHAnsi" w:cs="ArialNarrow"/>
                <w:szCs w:val="22"/>
              </w:rPr>
            </w:pPr>
            <w:r w:rsidRPr="003C55C7">
              <w:rPr>
                <w:rFonts w:asciiTheme="minorHAnsi" w:hAnsiTheme="minorHAnsi" w:cs="ArialNarrow"/>
                <w:szCs w:val="22"/>
              </w:rPr>
              <w:t>EPC</w:t>
            </w:r>
          </w:p>
        </w:tc>
        <w:tc>
          <w:tcPr>
            <w:tcW w:w="1984" w:type="pct"/>
            <w:shd w:val="clear" w:color="auto" w:fill="auto"/>
            <w:vAlign w:val="center"/>
          </w:tcPr>
          <w:p w:rsidR="009C5E72" w:rsidRPr="008554A8" w:rsidRDefault="009C5E72" w:rsidP="00C50890">
            <w:pPr>
              <w:spacing w:before="0" w:line="240" w:lineRule="auto"/>
              <w:jc w:val="both"/>
              <w:rPr>
                <w:rFonts w:asciiTheme="minorHAnsi" w:hAnsiTheme="minorHAnsi"/>
                <w:color w:val="333399"/>
                <w:szCs w:val="22"/>
              </w:rPr>
            </w:pPr>
            <w:r w:rsidRPr="00B61B7A">
              <w:rPr>
                <w:rFonts w:asciiTheme="minorHAnsi" w:eastAsiaTheme="minorHAnsi" w:hAnsiTheme="minorHAnsi" w:cstheme="minorBidi"/>
                <w:sz w:val="23"/>
                <w:szCs w:val="23"/>
                <w:lang w:eastAsia="en-US"/>
              </w:rPr>
              <w:t>Definicja jak wyżej w odniesieniu do podmiotów innych niż przedsiębiorstwa</w:t>
            </w:r>
          </w:p>
        </w:tc>
        <w:tc>
          <w:tcPr>
            <w:tcW w:w="821" w:type="pct"/>
          </w:tcPr>
          <w:p w:rsidR="009C5E72" w:rsidRPr="003C55C7" w:rsidRDefault="009C5E72" w:rsidP="00005946">
            <w:pPr>
              <w:spacing w:line="240" w:lineRule="auto"/>
              <w:jc w:val="both"/>
              <w:rPr>
                <w:rFonts w:asciiTheme="minorHAnsi" w:hAnsiTheme="minorHAnsi"/>
                <w:szCs w:val="22"/>
              </w:rPr>
            </w:pPr>
            <w:r w:rsidRPr="003C55C7">
              <w:rPr>
                <w:rFonts w:asciiTheme="minorHAnsi" w:hAnsiTheme="minorHAnsi"/>
                <w:szCs w:val="22"/>
              </w:rPr>
              <w:t>horyzontalny</w:t>
            </w:r>
          </w:p>
        </w:tc>
      </w:tr>
      <w:tr w:rsidR="00DF3CC5" w:rsidRPr="009313DB" w:rsidTr="00065DCD">
        <w:trPr>
          <w:cantSplit/>
          <w:trHeight w:val="20"/>
          <w:jc w:val="center"/>
        </w:trPr>
        <w:tc>
          <w:tcPr>
            <w:tcW w:w="1432" w:type="pct"/>
            <w:shd w:val="clear" w:color="auto" w:fill="auto"/>
          </w:tcPr>
          <w:p w:rsidR="00DF3CC5" w:rsidRPr="009313DB" w:rsidRDefault="00DF3CC5" w:rsidP="0035001C">
            <w:pPr>
              <w:pStyle w:val="Default"/>
              <w:rPr>
                <w:rFonts w:asciiTheme="minorHAnsi" w:hAnsiTheme="minorHAnsi"/>
                <w:sz w:val="22"/>
                <w:szCs w:val="22"/>
              </w:rPr>
            </w:pPr>
            <w:r w:rsidRPr="009313DB">
              <w:rPr>
                <w:rFonts w:asciiTheme="minorHAnsi" w:hAnsiTheme="minorHAnsi"/>
                <w:sz w:val="22"/>
                <w:szCs w:val="22"/>
              </w:rPr>
              <w:t>Liczba utrzymanych miejsc pracy</w:t>
            </w:r>
          </w:p>
        </w:tc>
        <w:tc>
          <w:tcPr>
            <w:tcW w:w="763" w:type="pct"/>
          </w:tcPr>
          <w:p w:rsidR="00DF3CC5" w:rsidRPr="009313DB" w:rsidRDefault="00DF3CC5" w:rsidP="0035001C">
            <w:pPr>
              <w:spacing w:before="0" w:line="240" w:lineRule="auto"/>
              <w:rPr>
                <w:rFonts w:asciiTheme="minorHAnsi" w:hAnsiTheme="minorHAnsi"/>
                <w:szCs w:val="22"/>
              </w:rPr>
            </w:pPr>
            <w:r w:rsidRPr="009313DB">
              <w:rPr>
                <w:rFonts w:asciiTheme="minorHAnsi" w:hAnsiTheme="minorHAnsi"/>
                <w:szCs w:val="22"/>
              </w:rPr>
              <w:t>EPC</w:t>
            </w:r>
          </w:p>
        </w:tc>
        <w:tc>
          <w:tcPr>
            <w:tcW w:w="1984" w:type="pct"/>
            <w:shd w:val="clear" w:color="auto" w:fill="auto"/>
            <w:vAlign w:val="center"/>
          </w:tcPr>
          <w:p w:rsidR="00DF3CC5" w:rsidRPr="009313DB" w:rsidRDefault="00AA4C46" w:rsidP="002D2A79">
            <w:pPr>
              <w:autoSpaceDE w:val="0"/>
              <w:autoSpaceDN w:val="0"/>
              <w:adjustRightInd w:val="0"/>
              <w:spacing w:before="0" w:line="240" w:lineRule="auto"/>
              <w:jc w:val="both"/>
              <w:rPr>
                <w:rFonts w:asciiTheme="minorHAnsi" w:eastAsiaTheme="minorHAnsi" w:hAnsiTheme="minorHAnsi" w:cs="Arial"/>
                <w:szCs w:val="22"/>
                <w:lang w:eastAsia="en-US"/>
              </w:rPr>
            </w:pPr>
            <w:r w:rsidRPr="009313DB">
              <w:rPr>
                <w:rFonts w:asciiTheme="minorHAnsi" w:eastAsiaTheme="minorHAnsi" w:hAnsiTheme="minorHAnsi" w:cstheme="minorBidi"/>
                <w:szCs w:val="22"/>
                <w:lang w:eastAsia="en-US"/>
              </w:rPr>
              <w:t>Miejsca pracy utworzone w wyniku re</w:t>
            </w:r>
            <w:bookmarkStart w:id="3" w:name="_GoBack"/>
            <w:bookmarkEnd w:id="3"/>
            <w:r w:rsidRPr="009313DB">
              <w:rPr>
                <w:rFonts w:asciiTheme="minorHAnsi" w:eastAsiaTheme="minorHAnsi" w:hAnsiTheme="minorHAnsi" w:cstheme="minorBidi"/>
                <w:szCs w:val="22"/>
                <w:lang w:eastAsia="en-US"/>
              </w:rPr>
              <w:t>alizacji projektu, lecz nie powodują wzrostu zatrudnienia w organizacji</w:t>
            </w:r>
          </w:p>
        </w:tc>
        <w:tc>
          <w:tcPr>
            <w:tcW w:w="821" w:type="pct"/>
          </w:tcPr>
          <w:p w:rsidR="00DF3CC5" w:rsidRPr="009313DB" w:rsidRDefault="00AA4C46" w:rsidP="0035001C">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r w:rsidR="00DF3CC5" w:rsidRPr="009313DB" w:rsidTr="00065DCD">
        <w:trPr>
          <w:cantSplit/>
          <w:trHeight w:val="20"/>
          <w:jc w:val="center"/>
        </w:trPr>
        <w:tc>
          <w:tcPr>
            <w:tcW w:w="1432" w:type="pct"/>
            <w:shd w:val="clear" w:color="auto" w:fill="auto"/>
          </w:tcPr>
          <w:p w:rsidR="00DF3CC5" w:rsidRPr="009313DB" w:rsidRDefault="00DF3CC5" w:rsidP="0035001C">
            <w:pPr>
              <w:pStyle w:val="Default"/>
              <w:rPr>
                <w:rFonts w:asciiTheme="minorHAnsi" w:hAnsiTheme="minorHAnsi"/>
                <w:sz w:val="22"/>
                <w:szCs w:val="22"/>
              </w:rPr>
            </w:pPr>
            <w:r w:rsidRPr="009313DB">
              <w:rPr>
                <w:rFonts w:asciiTheme="minorHAnsi" w:hAnsiTheme="minorHAnsi"/>
                <w:sz w:val="22"/>
                <w:szCs w:val="22"/>
              </w:rPr>
              <w:lastRenderedPageBreak/>
              <w:t>Liczba nowo utworzonych miejsc pracy - pozostałe formy</w:t>
            </w:r>
          </w:p>
        </w:tc>
        <w:tc>
          <w:tcPr>
            <w:tcW w:w="763" w:type="pct"/>
          </w:tcPr>
          <w:p w:rsidR="00DF3CC5" w:rsidRPr="009313DB" w:rsidRDefault="00DF3CC5" w:rsidP="0035001C">
            <w:pPr>
              <w:spacing w:before="0" w:line="240" w:lineRule="auto"/>
              <w:rPr>
                <w:rFonts w:asciiTheme="minorHAnsi" w:hAnsiTheme="minorHAnsi"/>
                <w:szCs w:val="22"/>
              </w:rPr>
            </w:pPr>
            <w:r w:rsidRPr="009313DB">
              <w:rPr>
                <w:rFonts w:asciiTheme="minorHAnsi" w:hAnsiTheme="minorHAnsi"/>
                <w:szCs w:val="22"/>
              </w:rPr>
              <w:t>EPC</w:t>
            </w:r>
          </w:p>
        </w:tc>
        <w:tc>
          <w:tcPr>
            <w:tcW w:w="1984" w:type="pct"/>
            <w:shd w:val="clear" w:color="auto" w:fill="auto"/>
            <w:vAlign w:val="center"/>
          </w:tcPr>
          <w:p w:rsidR="00DF3CC5" w:rsidRPr="009313DB" w:rsidRDefault="00AA4C46" w:rsidP="0035001C">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theme="minorBidi"/>
                <w:iCs/>
                <w:szCs w:val="22"/>
                <w:lang w:eastAsia="en-US"/>
              </w:rPr>
              <w:t>Pozostałe formy zatrudnienia</w:t>
            </w:r>
            <w:r w:rsidRPr="009313DB">
              <w:rPr>
                <w:rFonts w:asciiTheme="minorHAnsi" w:eastAsiaTheme="minorHAnsi" w:hAnsiTheme="minorHAnsi" w:cs="Verdana"/>
                <w:szCs w:val="22"/>
                <w:lang w:eastAsia="en-US"/>
              </w:rPr>
              <w:t>, np. umowy cywilnoprawne, miejsca pracy do obsługi projektu, nietrwałe miejsca pracy</w:t>
            </w:r>
          </w:p>
        </w:tc>
        <w:tc>
          <w:tcPr>
            <w:tcW w:w="821" w:type="pct"/>
          </w:tcPr>
          <w:p w:rsidR="00DF3CC5" w:rsidRPr="009313DB" w:rsidRDefault="00AA4C46" w:rsidP="0035001C">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bl>
    <w:p w:rsidR="005C6B14" w:rsidRPr="00442BB0" w:rsidRDefault="005C6B14" w:rsidP="005C6B14">
      <w:pPr>
        <w:spacing w:line="240" w:lineRule="auto"/>
        <w:jc w:val="both"/>
        <w:rPr>
          <w:rFonts w:asciiTheme="minorHAnsi" w:hAnsiTheme="minorHAnsi"/>
          <w:b/>
          <w:szCs w:val="22"/>
        </w:rPr>
      </w:pPr>
      <w:r w:rsidRPr="00442BB0">
        <w:rPr>
          <w:rFonts w:asciiTheme="minorHAnsi" w:hAnsiTheme="minorHAnsi"/>
          <w:b/>
          <w:szCs w:val="22"/>
        </w:rPr>
        <w:t xml:space="preserve">Zgodnie z załącznikiem nr 2 „Lista Wskaźników do wykonania celów pośrednich oraz końcowych” do Porozumienia nr DEF-Z/986/15 z dnia 9 czerwca 2015 zawartego pomiędzy Województwem Dolnośląskim a Gminą Wrocław pełniąca funkcję Instytucji Pośredniczącej, wskaźniki produktu weryfikowane na etapie oceny zgodności ze Strategią ZIT </w:t>
      </w:r>
      <w:proofErr w:type="spellStart"/>
      <w:r w:rsidRPr="00442BB0">
        <w:rPr>
          <w:rFonts w:asciiTheme="minorHAnsi" w:hAnsiTheme="minorHAnsi"/>
          <w:b/>
          <w:szCs w:val="22"/>
        </w:rPr>
        <w:t>WrOF</w:t>
      </w:r>
      <w:proofErr w:type="spellEnd"/>
      <w:r w:rsidRPr="00442BB0">
        <w:rPr>
          <w:rFonts w:asciiTheme="minorHAnsi" w:hAnsiTheme="minorHAnsi"/>
          <w:b/>
          <w:szCs w:val="22"/>
        </w:rPr>
        <w:t xml:space="preserve"> są tożsame z wyżej wskazanymi tj.:</w:t>
      </w:r>
    </w:p>
    <w:p w:rsidR="006E1A44" w:rsidRPr="006E1A44" w:rsidRDefault="006E1A44" w:rsidP="006E1A44">
      <w:pPr>
        <w:pStyle w:val="Akapitzlist"/>
        <w:numPr>
          <w:ilvl w:val="0"/>
          <w:numId w:val="11"/>
        </w:numPr>
        <w:spacing w:line="240" w:lineRule="auto"/>
        <w:jc w:val="both"/>
        <w:rPr>
          <w:rFonts w:asciiTheme="minorHAnsi" w:hAnsiTheme="minorHAnsi"/>
          <w:szCs w:val="22"/>
        </w:rPr>
      </w:pPr>
      <w:r w:rsidRPr="006E1A44">
        <w:rPr>
          <w:rFonts w:asciiTheme="minorHAnsi" w:hAnsiTheme="minorHAnsi"/>
          <w:szCs w:val="22"/>
        </w:rPr>
        <w:t xml:space="preserve">Szacowany roczny spadek emisji gazów cieplarnianych </w:t>
      </w:r>
    </w:p>
    <w:p w:rsidR="005C6B14" w:rsidRPr="00442BB0" w:rsidRDefault="005C6B14" w:rsidP="005C6B14">
      <w:pPr>
        <w:spacing w:line="240" w:lineRule="auto"/>
        <w:jc w:val="both"/>
        <w:rPr>
          <w:rFonts w:asciiTheme="minorHAnsi" w:hAnsiTheme="minorHAnsi"/>
          <w:b/>
          <w:szCs w:val="22"/>
        </w:rPr>
      </w:pPr>
      <w:r w:rsidRPr="00442BB0">
        <w:rPr>
          <w:rFonts w:asciiTheme="minorHAnsi" w:hAnsiTheme="minorHAnsi"/>
          <w:b/>
          <w:szCs w:val="22"/>
        </w:rPr>
        <w:t>Zgodnie z załącznikiem nr 2 „Lista Wskaźników do wykonania celów pośrednich oraz końcowych” do Porozumienia nr DEF-Z/987/15 z dnia 11 czerwca 2015 zawartego pomiędzy Województwem Dolnośląskim a Miastem Jelenia Góra pełniącym funkcję Instytucji Pośredniczącej, wskaźniki produktu weryfikowane na etapie oceny zgodności ze Strategią ZIT AJ są tożsame z wyżej wskazanymi tj.:</w:t>
      </w:r>
    </w:p>
    <w:p w:rsidR="006E1A44" w:rsidRPr="006E1A44" w:rsidRDefault="006E1A44" w:rsidP="006E1A44">
      <w:pPr>
        <w:pStyle w:val="Akapitzlist"/>
        <w:numPr>
          <w:ilvl w:val="0"/>
          <w:numId w:val="12"/>
        </w:numPr>
        <w:spacing w:line="240" w:lineRule="auto"/>
        <w:jc w:val="both"/>
        <w:rPr>
          <w:rFonts w:asciiTheme="minorHAnsi" w:hAnsiTheme="minorHAnsi"/>
          <w:szCs w:val="22"/>
        </w:rPr>
      </w:pPr>
      <w:r w:rsidRPr="006E1A44">
        <w:rPr>
          <w:rFonts w:asciiTheme="minorHAnsi" w:hAnsiTheme="minorHAnsi"/>
          <w:szCs w:val="22"/>
        </w:rPr>
        <w:t xml:space="preserve">Szacowany roczny spadek emisji gazów cieplarnianych </w:t>
      </w:r>
    </w:p>
    <w:p w:rsidR="008C495E" w:rsidRPr="009313DB" w:rsidRDefault="008C495E" w:rsidP="0035001C">
      <w:pPr>
        <w:autoSpaceDE w:val="0"/>
        <w:autoSpaceDN w:val="0"/>
        <w:adjustRightInd w:val="0"/>
        <w:spacing w:before="120" w:after="120"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 xml:space="preserve">W ramach wniosku o dofinansowanie Wnioskodawca ma obowiązek uwzględnić </w:t>
      </w:r>
      <w:r w:rsidRPr="009313DB">
        <w:rPr>
          <w:rFonts w:asciiTheme="minorHAnsi" w:eastAsiaTheme="minorHAnsi" w:hAnsiTheme="minorHAnsi" w:cs="Arial"/>
          <w:b/>
          <w:szCs w:val="22"/>
          <w:lang w:eastAsia="en-US"/>
        </w:rPr>
        <w:t>wszystkie adekwatne</w:t>
      </w:r>
      <w:r w:rsidRPr="009313DB">
        <w:rPr>
          <w:rFonts w:asciiTheme="minorHAnsi" w:eastAsiaTheme="minorHAnsi" w:hAnsiTheme="minorHAnsi" w:cs="Arial"/>
          <w:szCs w:val="22"/>
          <w:lang w:eastAsia="en-US"/>
        </w:rPr>
        <w:t xml:space="preserve"> wskaźniki produktu oraz rezultatu bezpośredniego z listy przedstawionej </w:t>
      </w:r>
      <w:r w:rsidR="009D3C56" w:rsidRPr="009313DB">
        <w:rPr>
          <w:rFonts w:asciiTheme="minorHAnsi" w:eastAsiaTheme="minorHAnsi" w:hAnsiTheme="minorHAnsi" w:cs="Arial"/>
          <w:szCs w:val="22"/>
          <w:lang w:eastAsia="en-US"/>
        </w:rPr>
        <w:br/>
      </w:r>
      <w:r w:rsidRPr="009313DB">
        <w:rPr>
          <w:rFonts w:asciiTheme="minorHAnsi" w:eastAsiaTheme="minorHAnsi" w:hAnsiTheme="minorHAnsi" w:cs="Arial"/>
          <w:szCs w:val="22"/>
          <w:lang w:eastAsia="en-US"/>
        </w:rPr>
        <w:t xml:space="preserve">w powyższych tabelach, odpowiadające </w:t>
      </w:r>
      <w:r w:rsidR="00DF3CC5" w:rsidRPr="009313DB">
        <w:rPr>
          <w:rFonts w:asciiTheme="minorHAnsi" w:eastAsiaTheme="minorHAnsi" w:hAnsiTheme="minorHAnsi" w:cs="Arial"/>
          <w:szCs w:val="22"/>
          <w:lang w:eastAsia="en-US"/>
        </w:rPr>
        <w:t xml:space="preserve">celowi </w:t>
      </w:r>
      <w:r w:rsidRPr="009313DB">
        <w:rPr>
          <w:rFonts w:asciiTheme="minorHAnsi" w:eastAsiaTheme="minorHAnsi" w:hAnsiTheme="minorHAnsi" w:cs="Arial"/>
          <w:szCs w:val="22"/>
          <w:lang w:eastAsia="en-US"/>
        </w:rPr>
        <w:t xml:space="preserve">projektu. </w:t>
      </w:r>
      <w:r w:rsidRPr="009313DB">
        <w:rPr>
          <w:rFonts w:asciiTheme="minorHAnsi" w:hAnsiTheme="minorHAnsi"/>
          <w:szCs w:val="22"/>
        </w:rPr>
        <w:t xml:space="preserve">Dodatkowo w ramach wniosku </w:t>
      </w:r>
      <w:r w:rsidR="002E120C" w:rsidRPr="009313DB">
        <w:rPr>
          <w:rFonts w:asciiTheme="minorHAnsi" w:hAnsiTheme="minorHAnsi"/>
          <w:szCs w:val="22"/>
        </w:rPr>
        <w:br/>
      </w:r>
      <w:r w:rsidRPr="009313DB">
        <w:rPr>
          <w:rFonts w:asciiTheme="minorHAnsi" w:hAnsiTheme="minorHAnsi"/>
          <w:szCs w:val="22"/>
        </w:rPr>
        <w:t>o dofinansowanie Wnioskodawca może określić inne, dodatkowe wskaźniki specyficzne dla danego projektu, o ile będzie to niezbędne dla prawidłowej realizacji projektu (tzw. wskaźniki projektowe).</w:t>
      </w:r>
    </w:p>
    <w:p w:rsidR="008C495E" w:rsidRPr="009313DB" w:rsidRDefault="008C495E" w:rsidP="0035001C">
      <w:pPr>
        <w:pStyle w:val="Default"/>
        <w:jc w:val="both"/>
        <w:rPr>
          <w:rFonts w:asciiTheme="minorHAnsi" w:eastAsiaTheme="minorHAnsi" w:hAnsiTheme="minorHAnsi" w:cstheme="minorBidi"/>
          <w:sz w:val="22"/>
          <w:szCs w:val="22"/>
          <w:lang w:eastAsia="en-US"/>
        </w:rPr>
      </w:pPr>
      <w:r w:rsidRPr="009313DB">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w:t>
      </w:r>
      <w:r w:rsidR="00AA4C46" w:rsidRPr="009313DB">
        <w:rPr>
          <w:rFonts w:asciiTheme="minorHAnsi" w:eastAsiaTheme="minorHAnsi" w:hAnsiTheme="minorHAnsi" w:cstheme="minorBidi"/>
          <w:sz w:val="22"/>
          <w:szCs w:val="22"/>
          <w:lang w:eastAsia="en-US"/>
        </w:rPr>
        <w:t xml:space="preserve">projektu </w:t>
      </w:r>
      <w:r w:rsidRPr="009313DB">
        <w:rPr>
          <w:rFonts w:asciiTheme="minorHAnsi" w:eastAsiaTheme="minorHAnsi" w:hAnsiTheme="minorHAnsi" w:cstheme="minorBidi"/>
          <w:sz w:val="22"/>
          <w:szCs w:val="22"/>
          <w:lang w:eastAsia="en-US"/>
        </w:rPr>
        <w:t xml:space="preserve">poprzez ustalenie źródła weryfikacji/pozyskania danych do pomiaru wskaźnika oraz częstotliwości pomiaru. Dlatego przy określaniu wskaźników należy wziąć pod uwagę dostępność i wiarygodność danych niezbędnych do pomiaru danego wskaźnika. </w:t>
      </w:r>
    </w:p>
    <w:p w:rsidR="00AA4C46" w:rsidRPr="009313DB" w:rsidRDefault="00AA4C46" w:rsidP="0035001C">
      <w:pPr>
        <w:autoSpaceDE w:val="0"/>
        <w:autoSpaceDN w:val="0"/>
        <w:adjustRightInd w:val="0"/>
        <w:spacing w:line="240" w:lineRule="auto"/>
        <w:jc w:val="both"/>
        <w:rPr>
          <w:rFonts w:asciiTheme="minorHAnsi" w:hAnsiTheme="minorHAnsi" w:cs="Arial"/>
          <w:b/>
          <w:color w:val="000000"/>
          <w:szCs w:val="22"/>
          <w:u w:val="single"/>
        </w:rPr>
      </w:pPr>
      <w:r w:rsidRPr="009313DB">
        <w:rPr>
          <w:rFonts w:asciiTheme="minorHAnsi" w:hAnsiTheme="minorHAnsi" w:cs="Arial"/>
          <w:b/>
          <w:color w:val="000000"/>
          <w:szCs w:val="22"/>
          <w:u w:val="single"/>
        </w:rPr>
        <w:t xml:space="preserve">UWAGA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Wartość bazowa (tzn. wartość w momencie rozpoczęcia realizacji projektu) w przypadku każdego wskaźnika powinna być wykazana na poziomie „0”.</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O ile w umowie o dofinansowanie projektu nie wskazano inaczej, efekt wsparcia na poziomie projektu występuje: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b) w przypadku wskaźników rezultatu określonych na poziomie projektu: </w:t>
      </w:r>
    </w:p>
    <w:p w:rsidR="00AA4C46" w:rsidRPr="009313DB" w:rsidRDefault="00AA4C46" w:rsidP="006F3E1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9313DB">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32765F" w:rsidRPr="009313DB" w:rsidRDefault="0032765F" w:rsidP="0035001C">
      <w:pPr>
        <w:spacing w:line="240" w:lineRule="auto"/>
        <w:rPr>
          <w:rFonts w:asciiTheme="minorHAnsi" w:hAnsiTheme="minorHAnsi"/>
          <w:szCs w:val="22"/>
        </w:rPr>
      </w:pPr>
    </w:p>
    <w:sectPr w:rsidR="0032765F" w:rsidRPr="009313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4B" w:rsidRDefault="0095444B" w:rsidP="008C495E">
      <w:pPr>
        <w:spacing w:before="0" w:line="240" w:lineRule="auto"/>
      </w:pPr>
      <w:r>
        <w:separator/>
      </w:r>
    </w:p>
  </w:endnote>
  <w:endnote w:type="continuationSeparator" w:id="0">
    <w:p w:rsidR="0095444B" w:rsidRDefault="0095444B"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42939"/>
      <w:docPartObj>
        <w:docPartGallery w:val="Page Numbers (Bottom of Page)"/>
        <w:docPartUnique/>
      </w:docPartObj>
    </w:sdtPr>
    <w:sdtEndPr/>
    <w:sdtContent>
      <w:p w:rsidR="00743204" w:rsidRDefault="00743204">
        <w:pPr>
          <w:pStyle w:val="Stopka"/>
          <w:jc w:val="right"/>
        </w:pPr>
        <w:r>
          <w:fldChar w:fldCharType="begin"/>
        </w:r>
        <w:r>
          <w:instrText>PAGE   \* MERGEFORMAT</w:instrText>
        </w:r>
        <w:r>
          <w:fldChar w:fldCharType="separate"/>
        </w:r>
        <w:r w:rsidR="002D2A79">
          <w:rPr>
            <w:noProof/>
          </w:rPr>
          <w:t>14</w:t>
        </w:r>
        <w:r>
          <w:fldChar w:fldCharType="end"/>
        </w:r>
      </w:p>
    </w:sdtContent>
  </w:sdt>
  <w:p w:rsidR="00743204" w:rsidRDefault="007432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4B" w:rsidRDefault="0095444B" w:rsidP="008C495E">
      <w:pPr>
        <w:spacing w:before="0" w:line="240" w:lineRule="auto"/>
      </w:pPr>
      <w:r>
        <w:separator/>
      </w:r>
    </w:p>
  </w:footnote>
  <w:footnote w:type="continuationSeparator" w:id="0">
    <w:p w:rsidR="0095444B" w:rsidRDefault="0095444B"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FA" w:rsidRPr="00FD21DC" w:rsidRDefault="00D769FA" w:rsidP="00D769FA">
    <w:pPr>
      <w:tabs>
        <w:tab w:val="center" w:pos="4536"/>
        <w:tab w:val="right" w:pos="9072"/>
      </w:tabs>
      <w:spacing w:before="0" w:line="240" w:lineRule="auto"/>
      <w:jc w:val="right"/>
      <w:rPr>
        <w:rFonts w:asciiTheme="minorHAnsi" w:hAnsiTheme="minorHAnsi"/>
        <w:sz w:val="18"/>
        <w:szCs w:val="18"/>
      </w:rPr>
    </w:pPr>
    <w:r w:rsidRPr="00FD21DC">
      <w:rPr>
        <w:rFonts w:asciiTheme="minorHAnsi" w:hAnsiTheme="minorHAnsi"/>
        <w:sz w:val="18"/>
        <w:szCs w:val="18"/>
      </w:rPr>
      <w:t xml:space="preserve">Załącznik  nr </w:t>
    </w:r>
    <w:r w:rsidR="00263821">
      <w:rPr>
        <w:rFonts w:asciiTheme="minorHAnsi" w:hAnsiTheme="minorHAnsi"/>
        <w:sz w:val="18"/>
        <w:szCs w:val="18"/>
      </w:rPr>
      <w:t>2</w:t>
    </w:r>
    <w:r w:rsidRPr="00FD21DC">
      <w:rPr>
        <w:rFonts w:asciiTheme="minorHAnsi" w:hAnsiTheme="minorHAnsi"/>
        <w:sz w:val="18"/>
        <w:szCs w:val="18"/>
      </w:rPr>
      <w:t xml:space="preserve"> do Regulaminu konkursów</w:t>
    </w:r>
    <w:r w:rsidR="002B4CF2">
      <w:rPr>
        <w:rFonts w:asciiTheme="minorHAnsi" w:hAnsiTheme="minorHAnsi"/>
        <w:sz w:val="18"/>
        <w:szCs w:val="18"/>
      </w:rPr>
      <w:t>:</w:t>
    </w:r>
  </w:p>
  <w:p w:rsidR="00D769FA" w:rsidRPr="00FD21DC" w:rsidRDefault="002D2A79" w:rsidP="00D769FA">
    <w:pPr>
      <w:spacing w:before="0" w:line="240" w:lineRule="auto"/>
      <w:jc w:val="right"/>
      <w:rPr>
        <w:rFonts w:asciiTheme="minorHAnsi" w:hAnsiTheme="minorHAnsi"/>
        <w:sz w:val="18"/>
        <w:szCs w:val="18"/>
      </w:rPr>
    </w:pPr>
    <w:r>
      <w:rPr>
        <w:rFonts w:asciiTheme="minorHAnsi" w:hAnsiTheme="minorHAnsi"/>
        <w:sz w:val="18"/>
        <w:szCs w:val="18"/>
      </w:rPr>
      <w:t>n</w:t>
    </w:r>
    <w:r w:rsidR="00D769FA">
      <w:rPr>
        <w:rFonts w:asciiTheme="minorHAnsi" w:hAnsiTheme="minorHAnsi"/>
        <w:sz w:val="18"/>
        <w:szCs w:val="18"/>
      </w:rPr>
      <w:t>r RPDS.03</w:t>
    </w:r>
    <w:r w:rsidR="00D769FA" w:rsidRPr="00FD21DC">
      <w:rPr>
        <w:rFonts w:asciiTheme="minorHAnsi" w:hAnsiTheme="minorHAnsi"/>
        <w:sz w:val="18"/>
        <w:szCs w:val="18"/>
      </w:rPr>
      <w:t>.03.01-IZ.00-02-14</w:t>
    </w:r>
    <w:r w:rsidR="00D769FA">
      <w:rPr>
        <w:rFonts w:asciiTheme="minorHAnsi" w:hAnsiTheme="minorHAnsi"/>
        <w:sz w:val="18"/>
        <w:szCs w:val="18"/>
      </w:rPr>
      <w:t>7</w:t>
    </w:r>
    <w:r w:rsidR="00D769FA" w:rsidRPr="00FD21DC">
      <w:rPr>
        <w:rFonts w:asciiTheme="minorHAnsi" w:hAnsiTheme="minorHAnsi"/>
        <w:sz w:val="18"/>
        <w:szCs w:val="18"/>
      </w:rPr>
      <w:t>/16</w:t>
    </w:r>
  </w:p>
  <w:p w:rsidR="00D769FA" w:rsidRPr="00FD21DC" w:rsidRDefault="002D2A79" w:rsidP="00D769FA">
    <w:pPr>
      <w:spacing w:before="0" w:line="240" w:lineRule="auto"/>
      <w:jc w:val="right"/>
      <w:rPr>
        <w:rFonts w:asciiTheme="minorHAnsi" w:hAnsiTheme="minorHAnsi"/>
        <w:sz w:val="18"/>
        <w:szCs w:val="18"/>
      </w:rPr>
    </w:pPr>
    <w:r>
      <w:rPr>
        <w:rFonts w:asciiTheme="minorHAnsi" w:hAnsiTheme="minorHAnsi"/>
        <w:sz w:val="18"/>
        <w:szCs w:val="18"/>
      </w:rPr>
      <w:t>n</w:t>
    </w:r>
    <w:r w:rsidR="00D769FA" w:rsidRPr="00FD21DC">
      <w:rPr>
        <w:rFonts w:asciiTheme="minorHAnsi" w:hAnsiTheme="minorHAnsi"/>
        <w:sz w:val="18"/>
        <w:szCs w:val="18"/>
      </w:rPr>
      <w:t xml:space="preserve">r </w:t>
    </w:r>
    <w:r w:rsidR="00D769FA">
      <w:rPr>
        <w:rFonts w:asciiTheme="minorHAnsi" w:hAnsiTheme="minorHAnsi"/>
        <w:sz w:val="18"/>
        <w:szCs w:val="18"/>
      </w:rPr>
      <w:t>RPDS.03.03.02-IZ.00-02-148</w:t>
    </w:r>
    <w:r w:rsidR="00D769FA" w:rsidRPr="00FD21DC">
      <w:rPr>
        <w:rFonts w:asciiTheme="minorHAnsi" w:hAnsiTheme="minorHAnsi"/>
        <w:sz w:val="18"/>
        <w:szCs w:val="18"/>
      </w:rPr>
      <w:t>/16</w:t>
    </w:r>
  </w:p>
  <w:p w:rsidR="00D769FA" w:rsidRPr="00FD21DC" w:rsidRDefault="002D2A79" w:rsidP="00D769FA">
    <w:pPr>
      <w:spacing w:before="0" w:line="240" w:lineRule="auto"/>
      <w:jc w:val="right"/>
      <w:rPr>
        <w:rFonts w:asciiTheme="minorHAnsi" w:hAnsiTheme="minorHAnsi"/>
        <w:sz w:val="18"/>
        <w:szCs w:val="18"/>
      </w:rPr>
    </w:pPr>
    <w:r>
      <w:rPr>
        <w:rFonts w:asciiTheme="minorHAnsi" w:hAnsiTheme="minorHAnsi"/>
        <w:sz w:val="18"/>
        <w:szCs w:val="18"/>
      </w:rPr>
      <w:t>n</w:t>
    </w:r>
    <w:r w:rsidR="00D769FA" w:rsidRPr="00FD21DC">
      <w:rPr>
        <w:rFonts w:asciiTheme="minorHAnsi" w:hAnsiTheme="minorHAnsi"/>
        <w:sz w:val="18"/>
        <w:szCs w:val="18"/>
      </w:rPr>
      <w:t xml:space="preserve">r </w:t>
    </w:r>
    <w:r w:rsidR="00D769FA">
      <w:rPr>
        <w:rFonts w:asciiTheme="minorHAnsi" w:hAnsiTheme="minorHAnsi"/>
        <w:sz w:val="18"/>
        <w:szCs w:val="18"/>
      </w:rPr>
      <w:t>RPDS.03.03.03-IZ.00-02-149</w:t>
    </w:r>
    <w:r w:rsidR="00D769FA" w:rsidRPr="00FD21DC">
      <w:rPr>
        <w:rFonts w:asciiTheme="minorHAnsi" w:hAnsiTheme="minorHAnsi"/>
        <w:sz w:val="18"/>
        <w:szCs w:val="18"/>
      </w:rPr>
      <w:t>/16</w:t>
    </w:r>
  </w:p>
  <w:p w:rsidR="00D769FA" w:rsidRDefault="00D769F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7535C8"/>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AB12CC"/>
    <w:multiLevelType w:val="hybridMultilevel"/>
    <w:tmpl w:val="BA7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522D583B"/>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E85C3E"/>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C997177"/>
    <w:multiLevelType w:val="hybridMultilevel"/>
    <w:tmpl w:val="BA7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C3C6B44"/>
    <w:multiLevelType w:val="hybridMultilevel"/>
    <w:tmpl w:val="BC78D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1"/>
  </w:num>
  <w:num w:numId="8">
    <w:abstractNumId w:val="2"/>
  </w:num>
  <w:num w:numId="9">
    <w:abstractNumId w:val="8"/>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202B0"/>
    <w:rsid w:val="00042A02"/>
    <w:rsid w:val="00052988"/>
    <w:rsid w:val="00053380"/>
    <w:rsid w:val="00065DCD"/>
    <w:rsid w:val="000715A8"/>
    <w:rsid w:val="000733A4"/>
    <w:rsid w:val="00076457"/>
    <w:rsid w:val="00094C3F"/>
    <w:rsid w:val="000A2F95"/>
    <w:rsid w:val="000A5B4F"/>
    <w:rsid w:val="000C6AFA"/>
    <w:rsid w:val="00106CD3"/>
    <w:rsid w:val="00115219"/>
    <w:rsid w:val="001711EA"/>
    <w:rsid w:val="0017324E"/>
    <w:rsid w:val="001962F1"/>
    <w:rsid w:val="001D101D"/>
    <w:rsid w:val="001F60DA"/>
    <w:rsid w:val="001F6BE0"/>
    <w:rsid w:val="0022505F"/>
    <w:rsid w:val="00243514"/>
    <w:rsid w:val="00263821"/>
    <w:rsid w:val="00272EC7"/>
    <w:rsid w:val="00274058"/>
    <w:rsid w:val="002746BC"/>
    <w:rsid w:val="00291D8A"/>
    <w:rsid w:val="0029753F"/>
    <w:rsid w:val="002B4CF2"/>
    <w:rsid w:val="002D2A79"/>
    <w:rsid w:val="002E120C"/>
    <w:rsid w:val="002F7385"/>
    <w:rsid w:val="00307FBA"/>
    <w:rsid w:val="003155EA"/>
    <w:rsid w:val="00321DB0"/>
    <w:rsid w:val="0032765F"/>
    <w:rsid w:val="003366AA"/>
    <w:rsid w:val="00337E05"/>
    <w:rsid w:val="0035001C"/>
    <w:rsid w:val="00365976"/>
    <w:rsid w:val="00373BE5"/>
    <w:rsid w:val="00377E66"/>
    <w:rsid w:val="003B0F33"/>
    <w:rsid w:val="003B6ECB"/>
    <w:rsid w:val="003C16D4"/>
    <w:rsid w:val="003D3BC5"/>
    <w:rsid w:val="003D6A16"/>
    <w:rsid w:val="003E1605"/>
    <w:rsid w:val="003F05D2"/>
    <w:rsid w:val="004117E6"/>
    <w:rsid w:val="00437B6F"/>
    <w:rsid w:val="00442BB0"/>
    <w:rsid w:val="00467D2B"/>
    <w:rsid w:val="004839B2"/>
    <w:rsid w:val="00483FC6"/>
    <w:rsid w:val="00485478"/>
    <w:rsid w:val="00490CFC"/>
    <w:rsid w:val="00495D6C"/>
    <w:rsid w:val="004A4436"/>
    <w:rsid w:val="004A7178"/>
    <w:rsid w:val="004C7734"/>
    <w:rsid w:val="004F61E3"/>
    <w:rsid w:val="004F75FB"/>
    <w:rsid w:val="00516B06"/>
    <w:rsid w:val="0053148E"/>
    <w:rsid w:val="005636D4"/>
    <w:rsid w:val="00565D80"/>
    <w:rsid w:val="005C6B14"/>
    <w:rsid w:val="005F1159"/>
    <w:rsid w:val="00636AF7"/>
    <w:rsid w:val="00644DA8"/>
    <w:rsid w:val="00665306"/>
    <w:rsid w:val="006D5D7B"/>
    <w:rsid w:val="006E1A44"/>
    <w:rsid w:val="006F3E11"/>
    <w:rsid w:val="007258F7"/>
    <w:rsid w:val="0072798D"/>
    <w:rsid w:val="00741B27"/>
    <w:rsid w:val="00743204"/>
    <w:rsid w:val="00766CF0"/>
    <w:rsid w:val="00776F74"/>
    <w:rsid w:val="00787387"/>
    <w:rsid w:val="007A6F35"/>
    <w:rsid w:val="007C0883"/>
    <w:rsid w:val="007C3BCA"/>
    <w:rsid w:val="007D1CF1"/>
    <w:rsid w:val="007E48B4"/>
    <w:rsid w:val="007E4BC2"/>
    <w:rsid w:val="007E6D53"/>
    <w:rsid w:val="00802B47"/>
    <w:rsid w:val="00837D34"/>
    <w:rsid w:val="00877F3B"/>
    <w:rsid w:val="0089244A"/>
    <w:rsid w:val="00897B25"/>
    <w:rsid w:val="008B21E1"/>
    <w:rsid w:val="008B4E3E"/>
    <w:rsid w:val="008B571F"/>
    <w:rsid w:val="008C495E"/>
    <w:rsid w:val="008E08D7"/>
    <w:rsid w:val="008E1DD1"/>
    <w:rsid w:val="008F72F3"/>
    <w:rsid w:val="00907A73"/>
    <w:rsid w:val="00911273"/>
    <w:rsid w:val="009163CC"/>
    <w:rsid w:val="00924BAF"/>
    <w:rsid w:val="009313DB"/>
    <w:rsid w:val="009415D4"/>
    <w:rsid w:val="00946F29"/>
    <w:rsid w:val="0095444B"/>
    <w:rsid w:val="00955479"/>
    <w:rsid w:val="00964B79"/>
    <w:rsid w:val="00997AFA"/>
    <w:rsid w:val="009A18C4"/>
    <w:rsid w:val="009C19AA"/>
    <w:rsid w:val="009C320F"/>
    <w:rsid w:val="009C48DB"/>
    <w:rsid w:val="009C5E72"/>
    <w:rsid w:val="009D3C56"/>
    <w:rsid w:val="009E65D0"/>
    <w:rsid w:val="00A42104"/>
    <w:rsid w:val="00A53C5D"/>
    <w:rsid w:val="00A74EB6"/>
    <w:rsid w:val="00A92838"/>
    <w:rsid w:val="00AA4403"/>
    <w:rsid w:val="00AA4BF5"/>
    <w:rsid w:val="00AA4C46"/>
    <w:rsid w:val="00AA74B6"/>
    <w:rsid w:val="00AD2437"/>
    <w:rsid w:val="00AD5DFF"/>
    <w:rsid w:val="00B111A2"/>
    <w:rsid w:val="00B204DD"/>
    <w:rsid w:val="00B26F44"/>
    <w:rsid w:val="00B50FCA"/>
    <w:rsid w:val="00B843EB"/>
    <w:rsid w:val="00B87D19"/>
    <w:rsid w:val="00BB7F60"/>
    <w:rsid w:val="00BD05BA"/>
    <w:rsid w:val="00BD70AD"/>
    <w:rsid w:val="00BE20B6"/>
    <w:rsid w:val="00BE3F33"/>
    <w:rsid w:val="00BE50EE"/>
    <w:rsid w:val="00C10532"/>
    <w:rsid w:val="00C50890"/>
    <w:rsid w:val="00C538A8"/>
    <w:rsid w:val="00C742CC"/>
    <w:rsid w:val="00C758A2"/>
    <w:rsid w:val="00CB485D"/>
    <w:rsid w:val="00CD21B1"/>
    <w:rsid w:val="00CD5974"/>
    <w:rsid w:val="00CD66DA"/>
    <w:rsid w:val="00CF16E5"/>
    <w:rsid w:val="00D03CAB"/>
    <w:rsid w:val="00D61517"/>
    <w:rsid w:val="00D75E86"/>
    <w:rsid w:val="00D769FA"/>
    <w:rsid w:val="00D82F7C"/>
    <w:rsid w:val="00D902BB"/>
    <w:rsid w:val="00DA0E32"/>
    <w:rsid w:val="00DB63A0"/>
    <w:rsid w:val="00DF3CC5"/>
    <w:rsid w:val="00DF4DD2"/>
    <w:rsid w:val="00E07494"/>
    <w:rsid w:val="00E11D35"/>
    <w:rsid w:val="00E32852"/>
    <w:rsid w:val="00E55074"/>
    <w:rsid w:val="00E604AF"/>
    <w:rsid w:val="00E61834"/>
    <w:rsid w:val="00E848C5"/>
    <w:rsid w:val="00E90CA0"/>
    <w:rsid w:val="00EA1A58"/>
    <w:rsid w:val="00EF6053"/>
    <w:rsid w:val="00F11756"/>
    <w:rsid w:val="00F30433"/>
    <w:rsid w:val="00F30D7F"/>
    <w:rsid w:val="00F367D1"/>
    <w:rsid w:val="00F57D83"/>
    <w:rsid w:val="00F61F5B"/>
    <w:rsid w:val="00FA3B8D"/>
    <w:rsid w:val="00FD5BF8"/>
    <w:rsid w:val="00FE4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5DCD"/>
    <w:rPr>
      <w:sz w:val="16"/>
      <w:szCs w:val="16"/>
    </w:rPr>
  </w:style>
  <w:style w:type="paragraph" w:styleId="Tekstkomentarza">
    <w:name w:val="annotation text"/>
    <w:basedOn w:val="Normalny"/>
    <w:link w:val="TekstkomentarzaZnak"/>
    <w:uiPriority w:val="99"/>
    <w:unhideWhenUsed/>
    <w:rsid w:val="00065DCD"/>
    <w:pPr>
      <w:spacing w:line="240" w:lineRule="auto"/>
    </w:pPr>
    <w:rPr>
      <w:sz w:val="20"/>
    </w:rPr>
  </w:style>
  <w:style w:type="character" w:customStyle="1" w:styleId="TekstkomentarzaZnak">
    <w:name w:val="Tekst komentarza Znak"/>
    <w:basedOn w:val="Domylnaczcionkaakapitu"/>
    <w:link w:val="Tekstkomentarza"/>
    <w:uiPriority w:val="99"/>
    <w:rsid w:val="00065DC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5DCD"/>
    <w:rPr>
      <w:b/>
      <w:bCs/>
    </w:rPr>
  </w:style>
  <w:style w:type="character" w:customStyle="1" w:styleId="TematkomentarzaZnak">
    <w:name w:val="Temat komentarza Znak"/>
    <w:basedOn w:val="TekstkomentarzaZnak"/>
    <w:link w:val="Tematkomentarza"/>
    <w:uiPriority w:val="99"/>
    <w:semiHidden/>
    <w:rsid w:val="00065DCD"/>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74320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43204"/>
    <w:rPr>
      <w:rFonts w:ascii="Arial" w:eastAsia="Times New Roman" w:hAnsi="Arial" w:cs="Times New Roman"/>
      <w:szCs w:val="20"/>
      <w:lang w:eastAsia="pl-PL"/>
    </w:rPr>
  </w:style>
  <w:style w:type="paragraph" w:styleId="Stopka">
    <w:name w:val="footer"/>
    <w:basedOn w:val="Normalny"/>
    <w:link w:val="StopkaZnak"/>
    <w:uiPriority w:val="99"/>
    <w:unhideWhenUsed/>
    <w:rsid w:val="0074320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43204"/>
    <w:rPr>
      <w:rFonts w:ascii="Arial" w:eastAsia="Times New Roman" w:hAnsi="Arial"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5DCD"/>
    <w:rPr>
      <w:sz w:val="16"/>
      <w:szCs w:val="16"/>
    </w:rPr>
  </w:style>
  <w:style w:type="paragraph" w:styleId="Tekstkomentarza">
    <w:name w:val="annotation text"/>
    <w:basedOn w:val="Normalny"/>
    <w:link w:val="TekstkomentarzaZnak"/>
    <w:uiPriority w:val="99"/>
    <w:unhideWhenUsed/>
    <w:rsid w:val="00065DCD"/>
    <w:pPr>
      <w:spacing w:line="240" w:lineRule="auto"/>
    </w:pPr>
    <w:rPr>
      <w:sz w:val="20"/>
    </w:rPr>
  </w:style>
  <w:style w:type="character" w:customStyle="1" w:styleId="TekstkomentarzaZnak">
    <w:name w:val="Tekst komentarza Znak"/>
    <w:basedOn w:val="Domylnaczcionkaakapitu"/>
    <w:link w:val="Tekstkomentarza"/>
    <w:uiPriority w:val="99"/>
    <w:rsid w:val="00065DC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5DCD"/>
    <w:rPr>
      <w:b/>
      <w:bCs/>
    </w:rPr>
  </w:style>
  <w:style w:type="character" w:customStyle="1" w:styleId="TematkomentarzaZnak">
    <w:name w:val="Temat komentarza Znak"/>
    <w:basedOn w:val="TekstkomentarzaZnak"/>
    <w:link w:val="Tematkomentarza"/>
    <w:uiPriority w:val="99"/>
    <w:semiHidden/>
    <w:rsid w:val="00065DCD"/>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74320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43204"/>
    <w:rPr>
      <w:rFonts w:ascii="Arial" w:eastAsia="Times New Roman" w:hAnsi="Arial" w:cs="Times New Roman"/>
      <w:szCs w:val="20"/>
      <w:lang w:eastAsia="pl-PL"/>
    </w:rPr>
  </w:style>
  <w:style w:type="paragraph" w:styleId="Stopka">
    <w:name w:val="footer"/>
    <w:basedOn w:val="Normalny"/>
    <w:link w:val="StopkaZnak"/>
    <w:uiPriority w:val="99"/>
    <w:unhideWhenUsed/>
    <w:rsid w:val="0074320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43204"/>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3462</Words>
  <Characters>20778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33</cp:revision>
  <cp:lastPrinted>2015-11-05T11:07:00Z</cp:lastPrinted>
  <dcterms:created xsi:type="dcterms:W3CDTF">2016-02-26T11:14:00Z</dcterms:created>
  <dcterms:modified xsi:type="dcterms:W3CDTF">2016-07-27T12:52:00Z</dcterms:modified>
</cp:coreProperties>
</file>