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BAD" w:rsidRPr="00AD78C4" w:rsidRDefault="00C55C4D" w:rsidP="00C55C4D">
      <w:pPr>
        <w:tabs>
          <w:tab w:val="left" w:pos="2490"/>
          <w:tab w:val="center" w:pos="4536"/>
        </w:tabs>
        <w:autoSpaceDE w:val="0"/>
        <w:autoSpaceDN w:val="0"/>
        <w:adjustRightInd w:val="0"/>
        <w:spacing w:line="240" w:lineRule="auto"/>
        <w:rPr>
          <w:rFonts w:asciiTheme="minorHAnsi" w:hAnsiTheme="minorHAnsi" w:cs="Calibri"/>
          <w:b/>
          <w:sz w:val="24"/>
          <w:szCs w:val="24"/>
        </w:rPr>
      </w:pPr>
      <w:bookmarkStart w:id="0" w:name="_Toc426632922"/>
      <w:bookmarkStart w:id="1" w:name="_Toc430826826"/>
      <w:bookmarkStart w:id="2" w:name="_Toc432758974"/>
      <w:r w:rsidRPr="00C55C4D">
        <w:rPr>
          <w:rFonts w:asciiTheme="minorHAnsi" w:hAnsiTheme="minorHAnsi" w:cs="Calibri"/>
          <w:b/>
          <w:sz w:val="24"/>
          <w:szCs w:val="24"/>
        </w:rPr>
        <w:tab/>
      </w:r>
      <w:r w:rsidRPr="00C55C4D">
        <w:rPr>
          <w:rFonts w:asciiTheme="minorHAnsi" w:hAnsiTheme="minorHAnsi" w:cs="Calibri"/>
          <w:b/>
          <w:sz w:val="24"/>
          <w:szCs w:val="24"/>
        </w:rPr>
        <w:tab/>
      </w:r>
      <w:r w:rsidR="009D3C56" w:rsidRPr="00AD78C4">
        <w:rPr>
          <w:rFonts w:asciiTheme="minorHAnsi" w:hAnsiTheme="minorHAnsi" w:cs="Calibri"/>
          <w:b/>
          <w:sz w:val="24"/>
          <w:szCs w:val="24"/>
        </w:rPr>
        <w:t xml:space="preserve">Lista wskaźników na poziomie projektu </w:t>
      </w:r>
    </w:p>
    <w:p w:rsidR="009D52C8" w:rsidRPr="00AD78C4" w:rsidRDefault="007B2400" w:rsidP="00842135">
      <w:pPr>
        <w:jc w:val="center"/>
        <w:rPr>
          <w:rFonts w:asciiTheme="minorHAnsi" w:hAnsiTheme="minorHAnsi" w:cs="Arial"/>
          <w:b/>
          <w:sz w:val="24"/>
          <w:szCs w:val="24"/>
        </w:rPr>
      </w:pPr>
      <w:r w:rsidRPr="00AD78C4">
        <w:rPr>
          <w:rFonts w:asciiTheme="minorHAnsi" w:hAnsiTheme="minorHAnsi" w:cs="Calibri"/>
          <w:b/>
          <w:sz w:val="24"/>
          <w:szCs w:val="24"/>
        </w:rPr>
        <w:t>dla D</w:t>
      </w:r>
      <w:r w:rsidR="009D3C56" w:rsidRPr="00AD78C4">
        <w:rPr>
          <w:rFonts w:asciiTheme="minorHAnsi" w:hAnsiTheme="minorHAnsi" w:cs="Calibri"/>
          <w:b/>
          <w:sz w:val="24"/>
          <w:szCs w:val="24"/>
        </w:rPr>
        <w:t xml:space="preserve">ziałania </w:t>
      </w:r>
      <w:r w:rsidR="00332CDB" w:rsidRPr="00AD78C4">
        <w:rPr>
          <w:rFonts w:asciiTheme="minorHAnsi" w:hAnsiTheme="minorHAnsi" w:cs="Calibri"/>
          <w:b/>
          <w:sz w:val="24"/>
          <w:szCs w:val="24"/>
        </w:rPr>
        <w:t>1.</w:t>
      </w:r>
      <w:r w:rsidR="00F04FE3" w:rsidRPr="00AD78C4">
        <w:rPr>
          <w:rFonts w:asciiTheme="minorHAnsi" w:hAnsiTheme="minorHAnsi" w:cs="Calibri"/>
          <w:b/>
          <w:sz w:val="24"/>
          <w:szCs w:val="24"/>
        </w:rPr>
        <w:t>4.1</w:t>
      </w:r>
      <w:r w:rsidR="00F04FE3" w:rsidRPr="00AD78C4">
        <w:rPr>
          <w:rFonts w:asciiTheme="minorHAnsi" w:hAnsiTheme="minorHAnsi" w:cs="Arial"/>
          <w:b/>
          <w:sz w:val="24"/>
          <w:szCs w:val="24"/>
        </w:rPr>
        <w:t xml:space="preserve"> C</w:t>
      </w:r>
    </w:p>
    <w:p w:rsidR="009D3C56" w:rsidRPr="00AD78C4" w:rsidRDefault="00EA68D3" w:rsidP="00842135">
      <w:pPr>
        <w:jc w:val="center"/>
        <w:rPr>
          <w:rFonts w:asciiTheme="minorHAnsi" w:hAnsiTheme="minorHAnsi" w:cs="Arial"/>
          <w:b/>
          <w:sz w:val="24"/>
          <w:szCs w:val="24"/>
        </w:rPr>
      </w:pPr>
      <w:r w:rsidRPr="00AD78C4">
        <w:rPr>
          <w:rFonts w:asciiTheme="minorHAnsi" w:hAnsiTheme="minorHAnsi" w:cs="Calibri"/>
          <w:b/>
          <w:sz w:val="24"/>
          <w:szCs w:val="24"/>
        </w:rPr>
        <w:t>RPO WD 2014-2020</w:t>
      </w:r>
    </w:p>
    <w:p w:rsidR="00CF69D1" w:rsidRPr="00AD78C4" w:rsidRDefault="00CF69D1" w:rsidP="007650AC">
      <w:pPr>
        <w:autoSpaceDE w:val="0"/>
        <w:autoSpaceDN w:val="0"/>
        <w:spacing w:before="120" w:after="120" w:line="240" w:lineRule="auto"/>
        <w:jc w:val="both"/>
        <w:rPr>
          <w:rFonts w:asciiTheme="minorHAnsi" w:eastAsiaTheme="minorHAnsi" w:hAnsiTheme="minorHAnsi" w:cs="Calibri"/>
          <w:szCs w:val="22"/>
          <w:lang w:eastAsia="en-US"/>
        </w:rPr>
      </w:pPr>
    </w:p>
    <w:bookmarkEnd w:id="0"/>
    <w:bookmarkEnd w:id="1"/>
    <w:bookmarkEnd w:id="2"/>
    <w:p w:rsidR="00DF6D97" w:rsidRPr="00AD78C4" w:rsidRDefault="00DF6D97" w:rsidP="006E176E">
      <w:pPr>
        <w:autoSpaceDE w:val="0"/>
        <w:autoSpaceDN w:val="0"/>
        <w:spacing w:before="120" w:after="120" w:line="276" w:lineRule="auto"/>
        <w:jc w:val="both"/>
        <w:rPr>
          <w:rFonts w:asciiTheme="minorHAnsi" w:eastAsiaTheme="minorHAnsi" w:hAnsiTheme="minorHAnsi" w:cs="Calibri"/>
          <w:szCs w:val="22"/>
          <w:lang w:eastAsia="en-US"/>
        </w:rPr>
      </w:pPr>
      <w:r w:rsidRPr="00AD78C4">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AD78C4" w:rsidRDefault="00DF6D97" w:rsidP="006E176E">
      <w:pPr>
        <w:autoSpaceDE w:val="0"/>
        <w:autoSpaceDN w:val="0"/>
        <w:spacing w:before="120" w:after="120" w:line="276" w:lineRule="auto"/>
        <w:jc w:val="both"/>
        <w:rPr>
          <w:rFonts w:asciiTheme="minorHAnsi" w:hAnsiTheme="minorHAnsi"/>
          <w:szCs w:val="22"/>
        </w:rPr>
      </w:pPr>
      <w:r w:rsidRPr="00AD78C4">
        <w:rPr>
          <w:rFonts w:asciiTheme="minorHAnsi" w:eastAsiaTheme="minorHAnsi" w:hAnsiTheme="minorHAnsi" w:cs="Calibri"/>
          <w:szCs w:val="22"/>
          <w:lang w:eastAsia="en-US"/>
        </w:rPr>
        <w:t xml:space="preserve">Wybór wskaźników projektu powinien być powiązany z typem realizowanego przedsięwzięcia </w:t>
      </w:r>
      <w:r w:rsidRPr="00AD78C4">
        <w:rPr>
          <w:rFonts w:asciiTheme="minorHAnsi" w:eastAsiaTheme="minorHAnsi" w:hAnsiTheme="minorHAnsi" w:cs="Calibri"/>
          <w:szCs w:val="22"/>
          <w:lang w:eastAsia="en-US"/>
        </w:rPr>
        <w:br/>
        <w:t xml:space="preserve">i planowanymi działaniami, które Wnioskodawca zamierza podjąć w ramach projektu. </w:t>
      </w:r>
      <w:r w:rsidRPr="00AD78C4">
        <w:rPr>
          <w:rFonts w:asciiTheme="minorHAnsi" w:eastAsiaTheme="minorHAnsi" w:hAnsiTheme="minorHAnsi" w:cs="Calibri"/>
          <w:bCs/>
          <w:szCs w:val="22"/>
          <w:lang w:eastAsia="en-US"/>
        </w:rPr>
        <w:t>Do celu głównego projektu Wnioskodawca powinien d</w:t>
      </w:r>
      <w:r w:rsidR="00FD7655" w:rsidRPr="00AD78C4">
        <w:rPr>
          <w:rFonts w:asciiTheme="minorHAnsi" w:eastAsiaTheme="minorHAnsi" w:hAnsiTheme="minorHAnsi" w:cs="Calibri"/>
          <w:bCs/>
          <w:szCs w:val="22"/>
          <w:lang w:eastAsia="en-US"/>
        </w:rPr>
        <w:t>obrać odpowiednie wskaźniki</w:t>
      </w:r>
      <w:r w:rsidRPr="00AD78C4">
        <w:rPr>
          <w:rFonts w:asciiTheme="minorHAnsi" w:eastAsiaTheme="minorHAnsi" w:hAnsiTheme="minorHAnsi" w:cs="Calibri"/>
          <w:bCs/>
          <w:szCs w:val="22"/>
          <w:lang w:eastAsia="en-US"/>
        </w:rPr>
        <w:t xml:space="preserve"> produktu i rezultatu</w:t>
      </w:r>
      <w:r w:rsidRPr="00AD78C4">
        <w:rPr>
          <w:rFonts w:asciiTheme="minorHAnsi" w:eastAsiaTheme="minorHAnsi" w:hAnsiTheme="minorHAnsi" w:cs="Calibri"/>
          <w:szCs w:val="22"/>
          <w:lang w:eastAsia="en-US"/>
        </w:rPr>
        <w:t xml:space="preserve"> bezpośredniego. </w:t>
      </w:r>
      <w:r w:rsidR="00FD7655" w:rsidRPr="00AD78C4">
        <w:rPr>
          <w:rFonts w:asciiTheme="minorHAnsi" w:eastAsiaTheme="minorHAnsi" w:hAnsiTheme="minorHAnsi" w:cs="Calibri"/>
          <w:szCs w:val="22"/>
          <w:lang w:eastAsia="en-US"/>
        </w:rPr>
        <w:t>Wskaźniki m</w:t>
      </w:r>
      <w:r w:rsidRPr="00AD78C4">
        <w:rPr>
          <w:rFonts w:asciiTheme="minorHAnsi" w:eastAsiaTheme="minorHAnsi" w:hAnsiTheme="minorHAnsi" w:cs="Calibri"/>
          <w:szCs w:val="22"/>
          <w:lang w:eastAsia="en-US"/>
        </w:rPr>
        <w:t xml:space="preserve">uszą być logicznie powiązane z projektem i spójne. </w:t>
      </w:r>
    </w:p>
    <w:p w:rsidR="00DF6D97" w:rsidRPr="00AD78C4" w:rsidRDefault="00DF6D97" w:rsidP="006E176E">
      <w:pPr>
        <w:autoSpaceDE w:val="0"/>
        <w:autoSpaceDN w:val="0"/>
        <w:spacing w:before="120" w:after="120" w:line="276" w:lineRule="auto"/>
        <w:jc w:val="both"/>
        <w:rPr>
          <w:rFonts w:asciiTheme="minorHAnsi" w:eastAsiaTheme="minorHAnsi" w:hAnsiTheme="minorHAnsi" w:cs="Calibri"/>
          <w:szCs w:val="22"/>
          <w:lang w:eastAsia="en-US"/>
        </w:rPr>
      </w:pPr>
      <w:r w:rsidRPr="00AD78C4">
        <w:rPr>
          <w:rFonts w:asciiTheme="minorHAnsi" w:hAnsiTheme="minorHAnsi"/>
          <w:szCs w:val="22"/>
        </w:rPr>
        <w:t>Każdy ze wskaźników powinien posiadać następujące cechy:</w:t>
      </w:r>
    </w:p>
    <w:p w:rsidR="00DF6D97" w:rsidRPr="00AD78C4"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AD78C4">
        <w:rPr>
          <w:rFonts w:asciiTheme="minorHAnsi" w:hAnsiTheme="minorHAnsi"/>
          <w:szCs w:val="22"/>
        </w:rPr>
        <w:t>adekwatność – wskaźnik powinien być dostosowany do charakteru projektu oraz oczekiwanych efektów związanych z jego realizacją;</w:t>
      </w:r>
    </w:p>
    <w:p w:rsidR="00DF6D97" w:rsidRPr="00AD78C4"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AD78C4">
        <w:rPr>
          <w:rFonts w:asciiTheme="minorHAnsi" w:hAnsiTheme="minorHAnsi"/>
          <w:szCs w:val="22"/>
        </w:rPr>
        <w:t>mierzalność – wskaźnik powinien być kwantyfikowalny, tj. wyrażony w wartościach liczbowych bądź finansowych;</w:t>
      </w:r>
    </w:p>
    <w:p w:rsidR="00DF6D97" w:rsidRPr="00AD78C4"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AD78C4">
        <w:rPr>
          <w:rFonts w:asciiTheme="minorHAnsi" w:hAnsiTheme="minorHAnsi"/>
          <w:szCs w:val="22"/>
        </w:rPr>
        <w:t>wiarygodność – wskaźnik powinien być zdefiniowany w taki sposób, aby jego weryfikacja nie powodowała utrudnień;</w:t>
      </w:r>
    </w:p>
    <w:p w:rsidR="00DF6D97" w:rsidRPr="00AD78C4"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AD78C4">
        <w:rPr>
          <w:rFonts w:asciiTheme="minorHAnsi" w:hAnsiTheme="minorHAnsi"/>
          <w:szCs w:val="22"/>
        </w:rPr>
        <w:t>dostępność – wskaźnik powinien być łatwy do określenia w wyniku realizacji projektu;</w:t>
      </w:r>
    </w:p>
    <w:p w:rsidR="00DF6D97" w:rsidRPr="00AD78C4"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AD78C4">
        <w:rPr>
          <w:rFonts w:asciiTheme="minorHAnsi" w:hAnsiTheme="minorHAnsi"/>
          <w:szCs w:val="22"/>
        </w:rPr>
        <w:t>określony w czasie – wartość wskaźnika powinna zostać określona w czasie, tj. określony rok osiągnięcia wartości docelowej wskaźnika oraz okres, w którym będzie mierzony wskaźnik</w:t>
      </w:r>
      <w:r w:rsidR="009D52C8" w:rsidRPr="00AD78C4">
        <w:rPr>
          <w:rFonts w:asciiTheme="minorHAnsi" w:hAnsiTheme="minorHAnsi"/>
          <w:szCs w:val="22"/>
        </w:rPr>
        <w:t>.</w:t>
      </w:r>
    </w:p>
    <w:p w:rsidR="00DF6D97" w:rsidRPr="00AD78C4" w:rsidRDefault="00DF6D97" w:rsidP="006E176E">
      <w:pPr>
        <w:autoSpaceDE w:val="0"/>
        <w:autoSpaceDN w:val="0"/>
        <w:adjustRightInd w:val="0"/>
        <w:spacing w:before="120" w:after="120" w:line="276" w:lineRule="auto"/>
        <w:jc w:val="both"/>
        <w:rPr>
          <w:rFonts w:asciiTheme="minorHAnsi" w:eastAsiaTheme="minorHAnsi" w:hAnsiTheme="minorHAnsi" w:cs="Calibri"/>
          <w:szCs w:val="22"/>
          <w:lang w:eastAsia="en-US"/>
        </w:rPr>
      </w:pPr>
      <w:r w:rsidRPr="00AD78C4">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rsidR="00DF6D97" w:rsidRPr="00AD78C4" w:rsidRDefault="00DF6D97" w:rsidP="006E176E">
      <w:pPr>
        <w:spacing w:before="120" w:after="120" w:line="276" w:lineRule="auto"/>
        <w:jc w:val="both"/>
        <w:rPr>
          <w:rFonts w:asciiTheme="minorHAnsi" w:hAnsiTheme="minorHAnsi"/>
          <w:b/>
          <w:szCs w:val="22"/>
        </w:rPr>
      </w:pPr>
    </w:p>
    <w:p w:rsidR="00DF6D97" w:rsidRPr="00AD78C4" w:rsidRDefault="00DF6D97" w:rsidP="006E176E">
      <w:pPr>
        <w:spacing w:before="120" w:after="120" w:line="276" w:lineRule="auto"/>
        <w:jc w:val="both"/>
        <w:rPr>
          <w:rFonts w:asciiTheme="minorHAnsi" w:hAnsiTheme="minorHAnsi"/>
          <w:b/>
          <w:szCs w:val="22"/>
        </w:rPr>
      </w:pPr>
      <w:r w:rsidRPr="00AD78C4">
        <w:rPr>
          <w:rFonts w:asciiTheme="minorHAnsi" w:hAnsiTheme="minorHAnsi"/>
          <w:b/>
          <w:szCs w:val="22"/>
        </w:rPr>
        <w:t>W ramach RPO WD 2014-2020 rozróżnia się następujące wskaźniki:</w:t>
      </w:r>
    </w:p>
    <w:p w:rsidR="00DF6D97" w:rsidRPr="00AD78C4" w:rsidRDefault="00DF6D97" w:rsidP="006E176E">
      <w:pPr>
        <w:pStyle w:val="ListParagraph"/>
        <w:numPr>
          <w:ilvl w:val="0"/>
          <w:numId w:val="5"/>
        </w:numPr>
        <w:spacing w:before="120" w:after="120" w:line="276" w:lineRule="auto"/>
        <w:ind w:left="567" w:hanging="567"/>
        <w:jc w:val="both"/>
        <w:rPr>
          <w:rFonts w:asciiTheme="minorHAnsi" w:hAnsiTheme="minorHAnsi"/>
          <w:b/>
          <w:szCs w:val="22"/>
        </w:rPr>
      </w:pPr>
      <w:r w:rsidRPr="00AD78C4">
        <w:rPr>
          <w:rFonts w:asciiTheme="minorHAnsi" w:hAnsiTheme="minorHAnsi"/>
          <w:b/>
          <w:szCs w:val="22"/>
        </w:rPr>
        <w:t>obligatoryjne – wskaźniki ujęte w RPO WD 2014-2020, SZOOP RPO WD 2014-2020</w:t>
      </w:r>
      <w:r w:rsidR="00C322A8" w:rsidRPr="00AD78C4">
        <w:rPr>
          <w:rFonts w:asciiTheme="minorHAnsi" w:hAnsiTheme="minorHAnsi"/>
          <w:b/>
          <w:szCs w:val="22"/>
        </w:rPr>
        <w:t>,</w:t>
      </w:r>
    </w:p>
    <w:p w:rsidR="00DF6D97" w:rsidRPr="00AD78C4" w:rsidRDefault="00C322A8" w:rsidP="006E176E">
      <w:pPr>
        <w:pStyle w:val="ListParagraph"/>
        <w:numPr>
          <w:ilvl w:val="0"/>
          <w:numId w:val="5"/>
        </w:numPr>
        <w:spacing w:before="120" w:after="120" w:line="276" w:lineRule="auto"/>
        <w:ind w:left="567" w:hanging="567"/>
        <w:jc w:val="both"/>
        <w:rPr>
          <w:rFonts w:asciiTheme="minorHAnsi" w:hAnsiTheme="minorHAnsi"/>
          <w:b/>
          <w:szCs w:val="22"/>
        </w:rPr>
      </w:pPr>
      <w:r w:rsidRPr="00AD78C4">
        <w:rPr>
          <w:rFonts w:asciiTheme="minorHAnsi" w:hAnsiTheme="minorHAnsi"/>
          <w:b/>
          <w:szCs w:val="22"/>
        </w:rPr>
        <w:t>horyzontalne,</w:t>
      </w:r>
    </w:p>
    <w:p w:rsidR="00DF6D97" w:rsidRPr="00AD78C4" w:rsidRDefault="00DF6D97" w:rsidP="006E176E">
      <w:pPr>
        <w:pStyle w:val="ListParagraph"/>
        <w:numPr>
          <w:ilvl w:val="0"/>
          <w:numId w:val="5"/>
        </w:numPr>
        <w:spacing w:before="120" w:after="120" w:line="276" w:lineRule="auto"/>
        <w:ind w:left="567" w:hanging="567"/>
        <w:jc w:val="both"/>
        <w:rPr>
          <w:rFonts w:asciiTheme="minorHAnsi" w:hAnsiTheme="minorHAnsi"/>
          <w:b/>
          <w:szCs w:val="22"/>
        </w:rPr>
      </w:pPr>
      <w:r w:rsidRPr="00AD78C4">
        <w:rPr>
          <w:rFonts w:asciiTheme="minorHAnsi" w:hAnsiTheme="minorHAnsi"/>
          <w:b/>
          <w:szCs w:val="22"/>
        </w:rPr>
        <w:t>dodatkowe – wskaźniki projektowe</w:t>
      </w:r>
      <w:r w:rsidR="00C322A8" w:rsidRPr="00AD78C4">
        <w:rPr>
          <w:rFonts w:asciiTheme="minorHAnsi" w:hAnsiTheme="minorHAnsi"/>
          <w:b/>
          <w:szCs w:val="22"/>
        </w:rPr>
        <w:t>.</w:t>
      </w:r>
    </w:p>
    <w:p w:rsidR="00DF6D97" w:rsidRPr="00AD78C4" w:rsidRDefault="00DF6D97" w:rsidP="006E176E">
      <w:pPr>
        <w:pStyle w:val="ListParagraph"/>
        <w:spacing w:before="120" w:after="120" w:line="276" w:lineRule="auto"/>
        <w:ind w:left="720"/>
        <w:jc w:val="both"/>
        <w:rPr>
          <w:rFonts w:asciiTheme="minorHAnsi" w:hAnsiTheme="minorHAnsi"/>
          <w:b/>
          <w:szCs w:val="22"/>
        </w:rPr>
      </w:pPr>
    </w:p>
    <w:p w:rsidR="00DF6D97" w:rsidRPr="00AD78C4" w:rsidRDefault="00DF6D97" w:rsidP="006E176E">
      <w:pPr>
        <w:pStyle w:val="Heading1"/>
        <w:spacing w:before="120" w:after="120" w:line="276" w:lineRule="auto"/>
        <w:jc w:val="both"/>
        <w:rPr>
          <w:rFonts w:asciiTheme="minorHAnsi" w:hAnsiTheme="minorHAnsi"/>
          <w:sz w:val="22"/>
          <w:szCs w:val="22"/>
        </w:rPr>
      </w:pPr>
      <w:r w:rsidRPr="00AD78C4">
        <w:rPr>
          <w:rFonts w:asciiTheme="minorHAnsi" w:hAnsiTheme="minorHAnsi"/>
          <w:sz w:val="22"/>
          <w:szCs w:val="22"/>
        </w:rPr>
        <w:lastRenderedPageBreak/>
        <w:t>Wymagania w zakresie wskaźników w projekcie</w:t>
      </w:r>
    </w:p>
    <w:p w:rsidR="00DF6D97" w:rsidRPr="00AD78C4" w:rsidRDefault="00DF6D97" w:rsidP="006E176E">
      <w:pPr>
        <w:pStyle w:val="Default"/>
        <w:spacing w:line="276" w:lineRule="auto"/>
        <w:jc w:val="both"/>
        <w:rPr>
          <w:rFonts w:asciiTheme="minorHAnsi" w:eastAsiaTheme="minorHAnsi" w:hAnsiTheme="minorHAnsi" w:cs="Calibri"/>
          <w:sz w:val="22"/>
          <w:szCs w:val="22"/>
          <w:lang w:eastAsia="en-US"/>
        </w:rPr>
      </w:pPr>
      <w:r w:rsidRPr="00AD78C4">
        <w:rPr>
          <w:rFonts w:asciiTheme="minorHAnsi" w:eastAsiaTheme="minorHAnsi" w:hAnsiTheme="minorHAnsi" w:cs="Calibri"/>
          <w:sz w:val="22"/>
          <w:szCs w:val="22"/>
          <w:lang w:eastAsia="en-US"/>
        </w:rPr>
        <w:t xml:space="preserve">W ramach wniosku o dofinansowanie projektu Wnioskodawca określa </w:t>
      </w:r>
      <w:r w:rsidRPr="00AD78C4">
        <w:rPr>
          <w:rFonts w:asciiTheme="minorHAnsi" w:eastAsiaTheme="minorHAnsi" w:hAnsiTheme="minorHAnsi" w:cs="Calibri"/>
          <w:b/>
          <w:bCs/>
          <w:sz w:val="22"/>
          <w:szCs w:val="22"/>
          <w:lang w:eastAsia="en-US"/>
        </w:rPr>
        <w:t>wskaźniki służące pomiarowi działań i celów założonych w projekcie.</w:t>
      </w:r>
      <w:r w:rsidRPr="00AD78C4">
        <w:rPr>
          <w:rFonts w:asciiTheme="minorHAnsi" w:eastAsiaTheme="minorHAnsi" w:hAnsiTheme="minorHAnsi" w:cs="Calibri"/>
          <w:sz w:val="22"/>
          <w:szCs w:val="22"/>
          <w:lang w:eastAsia="en-US"/>
        </w:rPr>
        <w:t xml:space="preserve"> Wskaźniki w ramach projektu należy określić mając </w:t>
      </w:r>
      <w:r w:rsidRPr="00AD78C4">
        <w:rPr>
          <w:rFonts w:asciiTheme="minorHAnsi" w:eastAsiaTheme="minorHAnsi" w:hAnsiTheme="minorHAnsi" w:cs="Calibri"/>
          <w:sz w:val="22"/>
          <w:szCs w:val="22"/>
          <w:lang w:eastAsia="en-US"/>
        </w:rPr>
        <w:br/>
        <w:t>w szczególności na uwadze zapisy niniejszego regulaminu.</w:t>
      </w:r>
    </w:p>
    <w:p w:rsidR="00DF6D97" w:rsidRPr="00AD78C4" w:rsidRDefault="00DF6D97" w:rsidP="006E176E">
      <w:pPr>
        <w:pStyle w:val="Default"/>
        <w:spacing w:line="276" w:lineRule="auto"/>
        <w:jc w:val="both"/>
        <w:rPr>
          <w:rFonts w:asciiTheme="minorHAnsi" w:eastAsiaTheme="minorHAnsi" w:hAnsiTheme="minorHAnsi" w:cs="Calibri"/>
          <w:sz w:val="22"/>
          <w:szCs w:val="22"/>
          <w:lang w:eastAsia="en-US"/>
        </w:rPr>
      </w:pPr>
    </w:p>
    <w:p w:rsidR="00DF6D97" w:rsidRPr="00AD78C4" w:rsidRDefault="00DF6D97" w:rsidP="006E176E">
      <w:pPr>
        <w:pStyle w:val="Default"/>
        <w:spacing w:line="276" w:lineRule="auto"/>
        <w:jc w:val="both"/>
        <w:rPr>
          <w:rFonts w:asciiTheme="minorHAnsi" w:hAnsiTheme="minorHAnsi"/>
          <w:b/>
          <w:sz w:val="22"/>
          <w:szCs w:val="22"/>
        </w:rPr>
      </w:pPr>
      <w:r w:rsidRPr="00AD78C4">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AD78C4" w:rsidRDefault="00DF6D97" w:rsidP="006E176E">
      <w:pPr>
        <w:autoSpaceDE w:val="0"/>
        <w:autoSpaceDN w:val="0"/>
        <w:adjustRightInd w:val="0"/>
        <w:spacing w:line="276" w:lineRule="auto"/>
        <w:jc w:val="both"/>
        <w:rPr>
          <w:rFonts w:asciiTheme="minorHAnsi" w:hAnsiTheme="minorHAnsi" w:cs="Arial"/>
          <w:szCs w:val="22"/>
        </w:rPr>
      </w:pPr>
      <w:r w:rsidRPr="00AD78C4">
        <w:rPr>
          <w:rFonts w:asciiTheme="minorHAnsi" w:hAnsiTheme="minorHAnsi" w:cs="Arial"/>
          <w:b/>
          <w:szCs w:val="22"/>
        </w:rPr>
        <w:t>W</w:t>
      </w:r>
      <w:r w:rsidRPr="00AD78C4">
        <w:rPr>
          <w:rFonts w:asciiTheme="minorHAnsi" w:hAnsiTheme="minorHAnsi" w:cs="Arial"/>
          <w:b/>
          <w:bCs/>
          <w:szCs w:val="22"/>
        </w:rPr>
        <w:t>skaźniki produktu</w:t>
      </w:r>
      <w:r w:rsidRPr="00AD78C4">
        <w:rPr>
          <w:rFonts w:asciiTheme="minorHAnsi" w:hAnsiTheme="minorHAnsi" w:cs="Arial"/>
          <w:bCs/>
          <w:szCs w:val="22"/>
        </w:rPr>
        <w:t xml:space="preserve"> są to wskaźniki powiązane bezpośrednio z wydatkami ponoszonymi </w:t>
      </w:r>
      <w:r w:rsidRPr="00AD78C4">
        <w:rPr>
          <w:rFonts w:asciiTheme="minorHAnsi" w:hAnsiTheme="minorHAnsi" w:cs="Arial"/>
          <w:bCs/>
          <w:szCs w:val="22"/>
        </w:rPr>
        <w:br/>
        <w:t>w projekcie</w:t>
      </w:r>
      <w:r w:rsidRPr="00AD78C4">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95592C" w:rsidRPr="00AD78C4" w:rsidRDefault="0095592C" w:rsidP="006E176E">
      <w:pPr>
        <w:pStyle w:val="Default"/>
        <w:spacing w:line="276" w:lineRule="auto"/>
        <w:jc w:val="both"/>
        <w:rPr>
          <w:rFonts w:asciiTheme="minorHAnsi" w:hAnsiTheme="minorHAnsi"/>
          <w:sz w:val="22"/>
          <w:szCs w:val="22"/>
        </w:rPr>
      </w:pPr>
    </w:p>
    <w:p w:rsidR="00DF6D97" w:rsidRPr="00AD78C4" w:rsidRDefault="00DF6D97" w:rsidP="006E176E">
      <w:pPr>
        <w:pStyle w:val="Default"/>
        <w:spacing w:line="276" w:lineRule="auto"/>
        <w:jc w:val="both"/>
        <w:rPr>
          <w:rFonts w:asciiTheme="minorHAnsi" w:hAnsiTheme="minorHAnsi"/>
          <w:sz w:val="22"/>
          <w:szCs w:val="22"/>
        </w:rPr>
      </w:pPr>
      <w:r w:rsidRPr="00AD78C4">
        <w:rPr>
          <w:rFonts w:asciiTheme="minorHAnsi" w:hAnsiTheme="minorHAnsi"/>
          <w:sz w:val="22"/>
          <w:szCs w:val="22"/>
        </w:rPr>
        <w:t xml:space="preserve">Dla każdego z wybranych wskaźników Wnioskodawca zobowiązany jest do wskazania „Jednostki miary”, „Wartości bazowej”, „Wartości docelowej wskaźnika”, a także „Źródła informacji o wskaźniku”. </w:t>
      </w:r>
    </w:p>
    <w:p w:rsidR="0095592C" w:rsidRPr="00AD78C4" w:rsidRDefault="0095592C" w:rsidP="006E176E">
      <w:pPr>
        <w:pStyle w:val="Default"/>
        <w:spacing w:line="276" w:lineRule="auto"/>
        <w:jc w:val="both"/>
        <w:rPr>
          <w:rFonts w:asciiTheme="minorHAnsi" w:hAnsiTheme="minorHAnsi"/>
          <w:sz w:val="22"/>
          <w:szCs w:val="22"/>
        </w:rPr>
      </w:pPr>
    </w:p>
    <w:p w:rsidR="00DF6D97" w:rsidRPr="00AD78C4" w:rsidRDefault="00DF6D97" w:rsidP="006E176E">
      <w:pPr>
        <w:pStyle w:val="Default"/>
        <w:spacing w:line="276" w:lineRule="auto"/>
        <w:jc w:val="both"/>
        <w:rPr>
          <w:rFonts w:asciiTheme="minorHAnsi" w:hAnsiTheme="minorHAnsi"/>
          <w:sz w:val="22"/>
          <w:szCs w:val="22"/>
        </w:rPr>
      </w:pPr>
      <w:r w:rsidRPr="00AD78C4">
        <w:rPr>
          <w:rFonts w:asciiTheme="minorHAnsi" w:hAnsiTheme="minorHAnsi"/>
          <w:sz w:val="22"/>
          <w:szCs w:val="22"/>
        </w:rPr>
        <w:t>Wartość docelowa dla wskaźnika produktu to wyrażony liczbowo stan danego wskaźnika na moment zakończenia rzeczowej realizacji projektu. Jako źródło informacji o wskaźniku wskazać należy odpowiedni dokument</w:t>
      </w:r>
      <w:r w:rsidR="00871F22" w:rsidRPr="00AD78C4">
        <w:rPr>
          <w:rFonts w:asciiTheme="minorHAnsi" w:hAnsiTheme="minorHAnsi"/>
          <w:sz w:val="22"/>
          <w:szCs w:val="22"/>
        </w:rPr>
        <w:t>.</w:t>
      </w:r>
    </w:p>
    <w:p w:rsidR="00DF6D97" w:rsidRPr="00AD78C4" w:rsidRDefault="00DF6D97" w:rsidP="006E176E">
      <w:pPr>
        <w:autoSpaceDE w:val="0"/>
        <w:autoSpaceDN w:val="0"/>
        <w:adjustRightInd w:val="0"/>
        <w:spacing w:before="120" w:after="120" w:line="276" w:lineRule="auto"/>
        <w:jc w:val="both"/>
        <w:rPr>
          <w:rFonts w:asciiTheme="minorHAnsi" w:hAnsiTheme="minorHAnsi"/>
          <w:b/>
          <w:szCs w:val="22"/>
        </w:rPr>
      </w:pPr>
      <w:r w:rsidRPr="00AD78C4">
        <w:rPr>
          <w:rFonts w:asciiTheme="minorHAnsi" w:hAnsiTheme="minorHAnsi"/>
          <w:szCs w:val="22"/>
        </w:rPr>
        <w:t xml:space="preserve">W ramach Działania </w:t>
      </w:r>
      <w:r w:rsidR="00332CDB" w:rsidRPr="00AD78C4">
        <w:rPr>
          <w:rFonts w:asciiTheme="minorHAnsi" w:hAnsiTheme="minorHAnsi"/>
          <w:szCs w:val="22"/>
        </w:rPr>
        <w:t>1</w:t>
      </w:r>
      <w:r w:rsidRPr="00AD78C4">
        <w:rPr>
          <w:rFonts w:asciiTheme="minorHAnsi" w:hAnsiTheme="minorHAnsi"/>
          <w:szCs w:val="22"/>
        </w:rPr>
        <w:t>.</w:t>
      </w:r>
      <w:r w:rsidR="00F04FE3" w:rsidRPr="00AD78C4">
        <w:rPr>
          <w:rFonts w:asciiTheme="minorHAnsi" w:hAnsiTheme="minorHAnsi"/>
          <w:szCs w:val="22"/>
        </w:rPr>
        <w:t>4 C</w:t>
      </w:r>
      <w:r w:rsidR="008F1A47" w:rsidRPr="00AD78C4">
        <w:rPr>
          <w:rFonts w:asciiTheme="minorHAnsi" w:hAnsiTheme="minorHAnsi"/>
          <w:szCs w:val="22"/>
        </w:rPr>
        <w:t xml:space="preserve"> </w:t>
      </w:r>
      <w:r w:rsidRPr="00AD78C4">
        <w:rPr>
          <w:rFonts w:asciiTheme="minorHAnsi" w:hAnsiTheme="minorHAnsi"/>
          <w:szCs w:val="22"/>
        </w:rPr>
        <w:t xml:space="preserve">określono poniższe wskaźniki </w:t>
      </w:r>
      <w:r w:rsidRPr="00AD78C4">
        <w:rPr>
          <w:rFonts w:asciiTheme="minorHAnsi" w:hAnsiTheme="minorHAnsi"/>
          <w:b/>
          <w:szCs w:val="22"/>
        </w:rPr>
        <w:t>produktu:</w:t>
      </w:r>
    </w:p>
    <w:p w:rsidR="006D7023" w:rsidRPr="00AD78C4" w:rsidRDefault="006D7023" w:rsidP="006E176E">
      <w:pPr>
        <w:autoSpaceDE w:val="0"/>
        <w:autoSpaceDN w:val="0"/>
        <w:adjustRightInd w:val="0"/>
        <w:spacing w:before="120" w:after="120" w:line="276" w:lineRule="auto"/>
        <w:jc w:val="both"/>
        <w:rPr>
          <w:rFonts w:asciiTheme="minorHAnsi" w:hAnsiTheme="minorHAnsi"/>
          <w:b/>
          <w:szCs w:val="22"/>
        </w:rPr>
      </w:pP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tblPr>
      <w:tblGrid>
        <w:gridCol w:w="2094"/>
        <w:gridCol w:w="851"/>
        <w:gridCol w:w="4536"/>
        <w:gridCol w:w="1807"/>
      </w:tblGrid>
      <w:tr w:rsidR="006D7023" w:rsidRPr="00AD78C4" w:rsidTr="00214F27">
        <w:trPr>
          <w:cantSplit/>
          <w:trHeight w:val="20"/>
          <w:jc w:val="center"/>
        </w:trPr>
        <w:tc>
          <w:tcPr>
            <w:tcW w:w="1127" w:type="pct"/>
            <w:shd w:val="clear" w:color="auto" w:fill="auto"/>
            <w:vAlign w:val="center"/>
          </w:tcPr>
          <w:p w:rsidR="006D7023" w:rsidRPr="00AD78C4" w:rsidRDefault="006D7023" w:rsidP="00214F27">
            <w:pPr>
              <w:spacing w:before="0" w:line="240" w:lineRule="auto"/>
              <w:jc w:val="center"/>
              <w:rPr>
                <w:rFonts w:asciiTheme="minorHAnsi" w:hAnsiTheme="minorHAnsi"/>
                <w:b/>
                <w:sz w:val="20"/>
              </w:rPr>
            </w:pPr>
            <w:r w:rsidRPr="00AD78C4">
              <w:rPr>
                <w:rFonts w:asciiTheme="minorHAnsi" w:hAnsiTheme="minorHAnsi"/>
                <w:b/>
                <w:sz w:val="20"/>
              </w:rPr>
              <w:t>Nazwa wskaźnika produktu</w:t>
            </w:r>
          </w:p>
        </w:tc>
        <w:tc>
          <w:tcPr>
            <w:tcW w:w="458" w:type="pct"/>
            <w:vAlign w:val="center"/>
          </w:tcPr>
          <w:p w:rsidR="006D7023" w:rsidRPr="00AD78C4" w:rsidRDefault="006D7023" w:rsidP="00214F27">
            <w:pPr>
              <w:suppressAutoHyphens/>
              <w:spacing w:before="0" w:line="240" w:lineRule="auto"/>
              <w:jc w:val="center"/>
              <w:rPr>
                <w:rFonts w:asciiTheme="minorHAnsi" w:hAnsiTheme="minorHAnsi"/>
                <w:b/>
                <w:bCs/>
                <w:sz w:val="20"/>
              </w:rPr>
            </w:pPr>
            <w:r w:rsidRPr="00AD78C4">
              <w:rPr>
                <w:rFonts w:asciiTheme="minorHAnsi" w:hAnsiTheme="minorHAnsi"/>
                <w:b/>
                <w:bCs/>
                <w:sz w:val="20"/>
              </w:rPr>
              <w:t>Jednostka miary</w:t>
            </w:r>
          </w:p>
        </w:tc>
        <w:tc>
          <w:tcPr>
            <w:tcW w:w="2442" w:type="pct"/>
            <w:shd w:val="clear" w:color="auto" w:fill="auto"/>
            <w:vAlign w:val="center"/>
          </w:tcPr>
          <w:p w:rsidR="006D7023" w:rsidRPr="00AD78C4" w:rsidRDefault="006D7023" w:rsidP="00214F27">
            <w:pPr>
              <w:suppressAutoHyphens/>
              <w:spacing w:before="0" w:line="240" w:lineRule="auto"/>
              <w:jc w:val="center"/>
              <w:rPr>
                <w:rFonts w:asciiTheme="minorHAnsi" w:hAnsiTheme="minorHAnsi"/>
                <w:b/>
                <w:sz w:val="20"/>
              </w:rPr>
            </w:pPr>
            <w:r w:rsidRPr="00AD78C4">
              <w:rPr>
                <w:rFonts w:asciiTheme="minorHAnsi" w:hAnsiTheme="minorHAnsi"/>
                <w:b/>
                <w:bCs/>
                <w:sz w:val="20"/>
              </w:rPr>
              <w:t>Definicja wskaźnika</w:t>
            </w:r>
          </w:p>
        </w:tc>
        <w:tc>
          <w:tcPr>
            <w:tcW w:w="973" w:type="pct"/>
            <w:vAlign w:val="center"/>
          </w:tcPr>
          <w:p w:rsidR="006D7023" w:rsidRPr="00AD78C4" w:rsidRDefault="006D7023" w:rsidP="00214F27">
            <w:pPr>
              <w:suppressAutoHyphens/>
              <w:spacing w:before="0" w:line="240" w:lineRule="auto"/>
              <w:jc w:val="center"/>
              <w:rPr>
                <w:rFonts w:asciiTheme="minorHAnsi" w:hAnsiTheme="minorHAnsi"/>
                <w:b/>
                <w:bCs/>
                <w:sz w:val="20"/>
              </w:rPr>
            </w:pPr>
            <w:r w:rsidRPr="00AD78C4">
              <w:rPr>
                <w:rFonts w:asciiTheme="minorHAnsi" w:hAnsiTheme="minorHAnsi"/>
                <w:b/>
                <w:bCs/>
                <w:sz w:val="20"/>
              </w:rPr>
              <w:t>Rodzaj dokumentu, w którym określono wskaźnik</w:t>
            </w:r>
          </w:p>
        </w:tc>
      </w:tr>
      <w:tr w:rsidR="006D7023" w:rsidRPr="00AD78C4" w:rsidTr="00214F27">
        <w:trPr>
          <w:cantSplit/>
          <w:trHeight w:val="20"/>
          <w:jc w:val="center"/>
        </w:trPr>
        <w:tc>
          <w:tcPr>
            <w:tcW w:w="1127" w:type="pct"/>
            <w:shd w:val="clear" w:color="auto" w:fill="auto"/>
          </w:tcPr>
          <w:p w:rsidR="006D7023" w:rsidRPr="00AD78C4" w:rsidRDefault="00F04FE3" w:rsidP="00214F27">
            <w:pPr>
              <w:spacing w:before="0" w:line="240" w:lineRule="auto"/>
              <w:rPr>
                <w:rFonts w:asciiTheme="minorHAnsi" w:hAnsiTheme="minorHAnsi"/>
                <w:sz w:val="20"/>
              </w:rPr>
            </w:pPr>
            <w:r w:rsidRPr="00AD78C4">
              <w:rPr>
                <w:rFonts w:asciiTheme="minorHAnsi" w:hAnsiTheme="minorHAnsi" w:cs="Arial"/>
                <w:sz w:val="20"/>
              </w:rPr>
              <w:t>Liczba wspartych przedsięwzięć informacyjno-promocyjnych o charakterze międzynarodowym</w:t>
            </w:r>
          </w:p>
        </w:tc>
        <w:tc>
          <w:tcPr>
            <w:tcW w:w="458" w:type="pct"/>
          </w:tcPr>
          <w:p w:rsidR="006D7023" w:rsidRPr="00AD78C4" w:rsidRDefault="006D7023" w:rsidP="00214F27">
            <w:pPr>
              <w:spacing w:before="0" w:line="240" w:lineRule="auto"/>
              <w:rPr>
                <w:rFonts w:asciiTheme="minorHAnsi" w:hAnsiTheme="minorHAnsi"/>
                <w:sz w:val="20"/>
              </w:rPr>
            </w:pPr>
            <w:r w:rsidRPr="00AD78C4">
              <w:rPr>
                <w:rFonts w:asciiTheme="minorHAnsi" w:hAnsiTheme="minorHAnsi"/>
                <w:sz w:val="20"/>
              </w:rPr>
              <w:t>szt.</w:t>
            </w:r>
          </w:p>
        </w:tc>
        <w:tc>
          <w:tcPr>
            <w:tcW w:w="2442" w:type="pct"/>
            <w:shd w:val="clear" w:color="auto" w:fill="auto"/>
          </w:tcPr>
          <w:p w:rsidR="006D7023" w:rsidRPr="00AD78C4" w:rsidRDefault="00F04FE3" w:rsidP="00FB70DB">
            <w:pPr>
              <w:spacing w:before="0" w:line="240" w:lineRule="auto"/>
              <w:rPr>
                <w:rFonts w:asciiTheme="minorHAnsi" w:hAnsiTheme="minorHAnsi"/>
                <w:sz w:val="20"/>
              </w:rPr>
            </w:pPr>
            <w:r w:rsidRPr="00AD78C4">
              <w:rPr>
                <w:rFonts w:asciiTheme="minorHAnsi" w:hAnsiTheme="minorHAnsi"/>
                <w:sz w:val="20"/>
              </w:rPr>
              <w:t>Liczba przedsięwzięć z zakresu informacji i promocji skierowanych do odbiorców spoza kraju, mających na celu</w:t>
            </w:r>
            <w:r w:rsidR="00FB70DB" w:rsidRPr="00AD78C4">
              <w:rPr>
                <w:rFonts w:asciiTheme="minorHAnsi" w:hAnsiTheme="minorHAnsi"/>
                <w:sz w:val="20"/>
              </w:rPr>
              <w:t xml:space="preserve"> </w:t>
            </w:r>
            <w:r w:rsidRPr="00AD78C4">
              <w:rPr>
                <w:rFonts w:asciiTheme="minorHAnsi" w:hAnsiTheme="minorHAnsi"/>
                <w:sz w:val="20"/>
              </w:rPr>
              <w:t>poprawę wizerunku polskiej/regionalnej gospodarki wśród partnerów międzynarodowych oraz poprawę dostępu do</w:t>
            </w:r>
            <w:r w:rsidR="00FB70DB" w:rsidRPr="00AD78C4">
              <w:rPr>
                <w:rFonts w:asciiTheme="minorHAnsi" w:hAnsiTheme="minorHAnsi"/>
                <w:sz w:val="20"/>
              </w:rPr>
              <w:t xml:space="preserve"> informacji </w:t>
            </w:r>
            <w:r w:rsidR="00FB70DB" w:rsidRPr="00AD78C4">
              <w:rPr>
                <w:rFonts w:asciiTheme="minorHAnsi" w:hAnsiTheme="minorHAnsi"/>
                <w:sz w:val="20"/>
              </w:rPr>
              <w:br/>
              <w:t xml:space="preserve">o </w:t>
            </w:r>
            <w:r w:rsidRPr="00AD78C4">
              <w:rPr>
                <w:rFonts w:asciiTheme="minorHAnsi" w:hAnsiTheme="minorHAnsi"/>
                <w:sz w:val="20"/>
              </w:rPr>
              <w:t>Polsce/regionie, o możliwościach nawiązania kontaktów gospodarczych itp. Przedsięwzięcie informacyjnopromocyjne</w:t>
            </w:r>
            <w:r w:rsidR="00FB70DB" w:rsidRPr="00AD78C4">
              <w:rPr>
                <w:rFonts w:asciiTheme="minorHAnsi" w:hAnsiTheme="minorHAnsi"/>
                <w:sz w:val="20"/>
              </w:rPr>
              <w:t xml:space="preserve"> </w:t>
            </w:r>
            <w:r w:rsidRPr="00AD78C4">
              <w:rPr>
                <w:rFonts w:asciiTheme="minorHAnsi" w:hAnsiTheme="minorHAnsi"/>
                <w:sz w:val="20"/>
              </w:rPr>
              <w:t>swoim zakresem może obejmować wykorzystanie różnorodnych instrumentów promocyjnych oraz</w:t>
            </w:r>
            <w:r w:rsidR="00FB70DB" w:rsidRPr="00AD78C4">
              <w:rPr>
                <w:rFonts w:asciiTheme="minorHAnsi" w:hAnsiTheme="minorHAnsi"/>
                <w:sz w:val="20"/>
              </w:rPr>
              <w:t xml:space="preserve"> </w:t>
            </w:r>
            <w:r w:rsidRPr="00AD78C4">
              <w:rPr>
                <w:rFonts w:asciiTheme="minorHAnsi" w:hAnsiTheme="minorHAnsi"/>
                <w:sz w:val="20"/>
              </w:rPr>
              <w:t>kanałów informacyjnych. Nie należy utożsamiać przedsięwzięcia promocyjnego z pojedynczym instrumentem</w:t>
            </w:r>
            <w:r w:rsidR="00FB70DB" w:rsidRPr="00AD78C4">
              <w:rPr>
                <w:rFonts w:asciiTheme="minorHAnsi" w:hAnsiTheme="minorHAnsi"/>
                <w:sz w:val="20"/>
              </w:rPr>
              <w:t xml:space="preserve"> </w:t>
            </w:r>
            <w:r w:rsidRPr="00AD78C4">
              <w:rPr>
                <w:rFonts w:asciiTheme="minorHAnsi" w:hAnsiTheme="minorHAnsi"/>
                <w:sz w:val="20"/>
              </w:rPr>
              <w:t>promocyjnym w ramach kompleksowego przedsięwzięcia.</w:t>
            </w:r>
          </w:p>
        </w:tc>
        <w:tc>
          <w:tcPr>
            <w:tcW w:w="973" w:type="pct"/>
          </w:tcPr>
          <w:p w:rsidR="006D7023" w:rsidRPr="00AD78C4" w:rsidRDefault="00F04FE3" w:rsidP="00214F27">
            <w:pPr>
              <w:autoSpaceDE w:val="0"/>
              <w:autoSpaceDN w:val="0"/>
              <w:adjustRightInd w:val="0"/>
              <w:spacing w:before="0" w:line="240" w:lineRule="auto"/>
              <w:jc w:val="center"/>
              <w:rPr>
                <w:rFonts w:asciiTheme="minorHAnsi" w:hAnsiTheme="minorHAnsi"/>
                <w:sz w:val="20"/>
              </w:rPr>
            </w:pPr>
            <w:r w:rsidRPr="00AD78C4">
              <w:rPr>
                <w:rFonts w:asciiTheme="minorHAnsi" w:hAnsiTheme="minorHAnsi" w:cs="Arial"/>
                <w:sz w:val="20"/>
              </w:rPr>
              <w:t>SZOOP RPO WD</w:t>
            </w:r>
          </w:p>
        </w:tc>
      </w:tr>
      <w:tr w:rsidR="006D7023" w:rsidRPr="00AD78C4" w:rsidTr="00214F27">
        <w:trPr>
          <w:trHeight w:val="1121"/>
          <w:jc w:val="center"/>
        </w:trPr>
        <w:tc>
          <w:tcPr>
            <w:tcW w:w="1127" w:type="pct"/>
            <w:shd w:val="clear" w:color="auto" w:fill="auto"/>
          </w:tcPr>
          <w:p w:rsidR="006D7023" w:rsidRPr="00AD78C4" w:rsidRDefault="00FB70DB" w:rsidP="00214F27">
            <w:pPr>
              <w:spacing w:before="0" w:line="240" w:lineRule="auto"/>
              <w:contextualSpacing/>
              <w:rPr>
                <w:rFonts w:asciiTheme="minorHAnsi" w:hAnsiTheme="minorHAnsi" w:cs="ArialNarrow"/>
                <w:sz w:val="20"/>
              </w:rPr>
            </w:pPr>
            <w:r w:rsidRPr="00AD78C4">
              <w:rPr>
                <w:rFonts w:asciiTheme="minorHAnsi" w:hAnsiTheme="minorHAnsi" w:cs="Arial"/>
                <w:sz w:val="20"/>
              </w:rPr>
              <w:lastRenderedPageBreak/>
              <w:t>Liczba wspartych przedsięwzięć informacyjno-promocyjnych o charakterze krajowym</w:t>
            </w:r>
          </w:p>
        </w:tc>
        <w:tc>
          <w:tcPr>
            <w:tcW w:w="458" w:type="pct"/>
          </w:tcPr>
          <w:p w:rsidR="006D7023" w:rsidRPr="00AD78C4" w:rsidRDefault="00FB70DB" w:rsidP="00214F27">
            <w:pPr>
              <w:spacing w:before="0" w:line="240" w:lineRule="auto"/>
              <w:jc w:val="both"/>
              <w:rPr>
                <w:rFonts w:asciiTheme="minorHAnsi" w:hAnsiTheme="minorHAnsi"/>
                <w:sz w:val="20"/>
              </w:rPr>
            </w:pPr>
            <w:r w:rsidRPr="00AD78C4">
              <w:rPr>
                <w:rFonts w:asciiTheme="minorHAnsi" w:hAnsiTheme="minorHAnsi"/>
                <w:sz w:val="20"/>
              </w:rPr>
              <w:t>szt.</w:t>
            </w:r>
          </w:p>
        </w:tc>
        <w:tc>
          <w:tcPr>
            <w:tcW w:w="2442" w:type="pct"/>
            <w:shd w:val="clear" w:color="auto" w:fill="auto"/>
          </w:tcPr>
          <w:p w:rsidR="00FB70DB" w:rsidRPr="00AD78C4" w:rsidRDefault="00FB70DB" w:rsidP="00FB70DB">
            <w:pPr>
              <w:spacing w:before="0" w:line="240" w:lineRule="auto"/>
              <w:rPr>
                <w:rFonts w:asciiTheme="minorHAnsi" w:hAnsiTheme="minorHAnsi"/>
                <w:sz w:val="20"/>
              </w:rPr>
            </w:pPr>
            <w:r w:rsidRPr="00AD78C4">
              <w:rPr>
                <w:rFonts w:asciiTheme="minorHAnsi" w:hAnsiTheme="minorHAnsi"/>
                <w:sz w:val="20"/>
              </w:rPr>
              <w:t>Liczba przedsięwzięć z zakresu informacji i promocji skierowanych do odbiorców w obrębie kraju, mających na celu poprawę wizerunku regionalnej gospodarki wśród partnerów krajowych oraz poprawę dostępu do informacji o regionie,</w:t>
            </w:r>
          </w:p>
          <w:p w:rsidR="006D7023" w:rsidRPr="00AD78C4" w:rsidRDefault="00FB70DB" w:rsidP="00FB70DB">
            <w:pPr>
              <w:spacing w:before="0" w:line="240" w:lineRule="auto"/>
              <w:rPr>
                <w:rFonts w:asciiTheme="minorHAnsi" w:hAnsiTheme="minorHAnsi"/>
                <w:sz w:val="20"/>
              </w:rPr>
            </w:pPr>
            <w:r w:rsidRPr="00AD78C4">
              <w:rPr>
                <w:rFonts w:asciiTheme="minorHAnsi" w:hAnsiTheme="minorHAnsi"/>
                <w:sz w:val="20"/>
              </w:rPr>
              <w:t xml:space="preserve">o możliwościach nawiązania kontaktów gospodarczych itp. Przedsięwzięcie informacyjno-promocyjne swoim zakresem może obejmować wykorzystanie różnorodnych instrumentów promocyjnych oraz kanałów informacyjnych. Nie należy utożsamiać przedsięwzięcia promocyjnego </w:t>
            </w:r>
            <w:r w:rsidRPr="00AD78C4">
              <w:rPr>
                <w:rFonts w:asciiTheme="minorHAnsi" w:hAnsiTheme="minorHAnsi"/>
                <w:sz w:val="20"/>
              </w:rPr>
              <w:br/>
              <w:t xml:space="preserve">z pojedynczym instrumentem promocyjnym </w:t>
            </w:r>
            <w:r w:rsidRPr="00AD78C4">
              <w:rPr>
                <w:rFonts w:asciiTheme="minorHAnsi" w:hAnsiTheme="minorHAnsi"/>
                <w:sz w:val="20"/>
              </w:rPr>
              <w:br/>
              <w:t>w ramach kompleksowego przedsięwzięcia.</w:t>
            </w:r>
          </w:p>
        </w:tc>
        <w:tc>
          <w:tcPr>
            <w:tcW w:w="973" w:type="pct"/>
          </w:tcPr>
          <w:p w:rsidR="006D7023" w:rsidRPr="00AD78C4" w:rsidRDefault="00FB70DB" w:rsidP="00214F27">
            <w:pPr>
              <w:spacing w:before="0" w:line="240" w:lineRule="auto"/>
              <w:jc w:val="center"/>
              <w:rPr>
                <w:rFonts w:asciiTheme="minorHAnsi" w:hAnsiTheme="minorHAnsi"/>
                <w:sz w:val="20"/>
              </w:rPr>
            </w:pPr>
            <w:r w:rsidRPr="00AD78C4">
              <w:rPr>
                <w:rFonts w:asciiTheme="minorHAnsi" w:hAnsiTheme="minorHAnsi" w:cs="Arial"/>
                <w:sz w:val="20"/>
              </w:rPr>
              <w:t>SZOOP RPO WD</w:t>
            </w:r>
          </w:p>
        </w:tc>
      </w:tr>
      <w:tr w:rsidR="006D7023" w:rsidRPr="00AD78C4" w:rsidTr="00214F27">
        <w:trPr>
          <w:trHeight w:val="20"/>
          <w:jc w:val="center"/>
        </w:trPr>
        <w:tc>
          <w:tcPr>
            <w:tcW w:w="1127" w:type="pct"/>
            <w:shd w:val="clear" w:color="auto" w:fill="auto"/>
          </w:tcPr>
          <w:p w:rsidR="006D7023" w:rsidRPr="00AD78C4" w:rsidRDefault="00FB70DB" w:rsidP="00214F27">
            <w:pPr>
              <w:spacing w:before="0" w:line="240" w:lineRule="auto"/>
              <w:contextualSpacing/>
              <w:rPr>
                <w:rFonts w:asciiTheme="minorHAnsi" w:hAnsiTheme="minorHAnsi" w:cs="ArialNarrow"/>
                <w:sz w:val="20"/>
              </w:rPr>
            </w:pPr>
            <w:r w:rsidRPr="00AD78C4">
              <w:rPr>
                <w:rFonts w:asciiTheme="minorHAnsi" w:hAnsiTheme="minorHAnsi" w:cs="Arial"/>
                <w:sz w:val="20"/>
              </w:rPr>
              <w:t>Liczba przedsiębiorstw wspartych w zakresie internacjonalizacji działalności</w:t>
            </w:r>
          </w:p>
        </w:tc>
        <w:tc>
          <w:tcPr>
            <w:tcW w:w="458" w:type="pct"/>
          </w:tcPr>
          <w:p w:rsidR="006D7023" w:rsidRPr="00AD78C4" w:rsidRDefault="00FB70DB" w:rsidP="00214F27">
            <w:pPr>
              <w:spacing w:before="0" w:line="240" w:lineRule="auto"/>
              <w:jc w:val="both"/>
              <w:rPr>
                <w:rFonts w:asciiTheme="minorHAnsi" w:hAnsiTheme="minorHAnsi"/>
                <w:sz w:val="20"/>
              </w:rPr>
            </w:pPr>
            <w:r w:rsidRPr="00AD78C4">
              <w:rPr>
                <w:rFonts w:asciiTheme="minorHAnsi" w:hAnsiTheme="minorHAnsi"/>
                <w:sz w:val="20"/>
              </w:rPr>
              <w:t>szt.</w:t>
            </w:r>
          </w:p>
        </w:tc>
        <w:tc>
          <w:tcPr>
            <w:tcW w:w="2442" w:type="pct"/>
            <w:shd w:val="clear" w:color="auto" w:fill="auto"/>
          </w:tcPr>
          <w:p w:rsidR="006D7023" w:rsidRPr="00AD78C4" w:rsidRDefault="00FB70DB" w:rsidP="00FB70DB">
            <w:pPr>
              <w:spacing w:before="0" w:line="240" w:lineRule="auto"/>
              <w:rPr>
                <w:rFonts w:asciiTheme="minorHAnsi" w:hAnsiTheme="minorHAnsi"/>
                <w:sz w:val="20"/>
              </w:rPr>
            </w:pPr>
            <w:r w:rsidRPr="00AD78C4">
              <w:rPr>
                <w:rFonts w:asciiTheme="minorHAnsi" w:hAnsiTheme="minorHAnsi"/>
                <w:sz w:val="20"/>
              </w:rPr>
              <w:t>Liczba przedsiębiorstw, które w ramach realizowanego projektu uzyskały wsparcie w zakresie umiędzynarodowienia działalności przedsiębiorstwa lub poprawy dostępu do rynków zagranicznych.</w:t>
            </w:r>
          </w:p>
        </w:tc>
        <w:tc>
          <w:tcPr>
            <w:tcW w:w="973" w:type="pct"/>
          </w:tcPr>
          <w:p w:rsidR="006D7023" w:rsidRPr="00AD78C4" w:rsidRDefault="00FB70DB" w:rsidP="00214F27">
            <w:pPr>
              <w:spacing w:before="0" w:line="240" w:lineRule="auto"/>
              <w:jc w:val="center"/>
              <w:rPr>
                <w:rFonts w:asciiTheme="minorHAnsi" w:hAnsiTheme="minorHAnsi"/>
                <w:sz w:val="20"/>
              </w:rPr>
            </w:pPr>
            <w:r w:rsidRPr="00AD78C4">
              <w:rPr>
                <w:rFonts w:asciiTheme="minorHAnsi" w:hAnsiTheme="minorHAnsi" w:cs="Arial"/>
                <w:sz w:val="20"/>
              </w:rPr>
              <w:t>SZOOP RPO WD</w:t>
            </w:r>
          </w:p>
        </w:tc>
      </w:tr>
      <w:tr w:rsidR="006D7023" w:rsidRPr="00AD78C4" w:rsidTr="00214F27">
        <w:trPr>
          <w:trHeight w:val="20"/>
          <w:jc w:val="center"/>
        </w:trPr>
        <w:tc>
          <w:tcPr>
            <w:tcW w:w="1127" w:type="pct"/>
            <w:shd w:val="clear" w:color="auto" w:fill="auto"/>
            <w:vAlign w:val="center"/>
          </w:tcPr>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hAnsiTheme="minorHAnsi"/>
                <w:sz w:val="20"/>
              </w:rPr>
              <w:t>Liczba obiektów dostosowanych do potrzeb osób z niepełnosprawnościami</w:t>
            </w:r>
          </w:p>
        </w:tc>
        <w:tc>
          <w:tcPr>
            <w:tcW w:w="458" w:type="pct"/>
            <w:vAlign w:val="center"/>
          </w:tcPr>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szt.</w:t>
            </w:r>
          </w:p>
        </w:tc>
        <w:tc>
          <w:tcPr>
            <w:tcW w:w="2442" w:type="pct"/>
            <w:shd w:val="clear" w:color="auto" w:fill="auto"/>
          </w:tcPr>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 xml:space="preserve">Jako obiekty budowlane należy rozumieć konstrukcje połączone z gruntem w sposób trwały, wykonane </w:t>
            </w:r>
            <w:r w:rsidR="00BA1688" w:rsidRPr="00AD78C4">
              <w:rPr>
                <w:rFonts w:asciiTheme="minorHAnsi" w:eastAsiaTheme="minorHAnsi" w:hAnsiTheme="minorHAnsi"/>
                <w:sz w:val="20"/>
                <w:lang w:eastAsia="en-US"/>
              </w:rPr>
              <w:br/>
            </w:r>
            <w:r w:rsidRPr="00AD78C4">
              <w:rPr>
                <w:rFonts w:asciiTheme="minorHAnsi" w:eastAsiaTheme="minorHAnsi" w:hAnsiTheme="minorHAnsi"/>
                <w:sz w:val="20"/>
                <w:lang w:eastAsia="en-US"/>
              </w:rPr>
              <w:t>z materiałów budowlanych i elementów składowych, będące wynikiem prac budowlanych (wg. def. PKOB).</w:t>
            </w:r>
          </w:p>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Należy podać liczbę obiektów, a nie sprzętów, urządzeń itp., w które obiekty zaopatrzono.</w:t>
            </w:r>
          </w:p>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Jeśli instytucja, zakład itp. składa się z kilku obiektów, należy zliczyć wszystkie, które dostosowano do potrzeb osób niepełnosprawnych.</w:t>
            </w:r>
          </w:p>
        </w:tc>
        <w:tc>
          <w:tcPr>
            <w:tcW w:w="973" w:type="pct"/>
          </w:tcPr>
          <w:p w:rsidR="006D7023" w:rsidRPr="00AD78C4" w:rsidRDefault="006D7023" w:rsidP="00214F27">
            <w:pPr>
              <w:spacing w:before="0" w:line="240" w:lineRule="auto"/>
              <w:jc w:val="center"/>
              <w:rPr>
                <w:rFonts w:asciiTheme="minorHAnsi" w:eastAsiaTheme="minorHAnsi" w:hAnsiTheme="minorHAnsi"/>
                <w:sz w:val="20"/>
                <w:lang w:eastAsia="en-US"/>
              </w:rPr>
            </w:pPr>
            <w:r w:rsidRPr="00AD78C4">
              <w:rPr>
                <w:rFonts w:asciiTheme="minorHAnsi" w:eastAsiaTheme="minorHAnsi" w:hAnsiTheme="minorHAnsi"/>
                <w:sz w:val="20"/>
                <w:lang w:eastAsia="en-US"/>
              </w:rPr>
              <w:t>horyzontalny</w:t>
            </w:r>
          </w:p>
        </w:tc>
      </w:tr>
      <w:tr w:rsidR="006D7023" w:rsidRPr="00AD78C4" w:rsidTr="00214F27">
        <w:trPr>
          <w:trHeight w:val="20"/>
          <w:jc w:val="center"/>
        </w:trPr>
        <w:tc>
          <w:tcPr>
            <w:tcW w:w="1127" w:type="pct"/>
            <w:shd w:val="clear" w:color="auto" w:fill="auto"/>
          </w:tcPr>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Li</w:t>
            </w:r>
            <w:r w:rsidR="006D7103" w:rsidRPr="00AD78C4">
              <w:rPr>
                <w:rFonts w:asciiTheme="minorHAnsi" w:eastAsiaTheme="minorHAnsi" w:hAnsiTheme="minorHAnsi"/>
                <w:sz w:val="20"/>
                <w:lang w:eastAsia="en-US"/>
              </w:rPr>
              <w:t>czba osób objętych szkoleniami/</w:t>
            </w:r>
            <w:r w:rsidRPr="00AD78C4">
              <w:rPr>
                <w:rFonts w:asciiTheme="minorHAnsi" w:eastAsiaTheme="minorHAnsi" w:hAnsiTheme="minorHAnsi"/>
                <w:sz w:val="20"/>
                <w:lang w:eastAsia="en-US"/>
              </w:rPr>
              <w:t xml:space="preserve"> doradztwem w zakresie kompetencji cyfrowych O/K/M</w:t>
            </w:r>
          </w:p>
        </w:tc>
        <w:tc>
          <w:tcPr>
            <w:tcW w:w="458" w:type="pct"/>
          </w:tcPr>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os.</w:t>
            </w:r>
          </w:p>
        </w:tc>
        <w:tc>
          <w:tcPr>
            <w:tcW w:w="2442" w:type="pct"/>
            <w:shd w:val="clear" w:color="auto" w:fill="auto"/>
          </w:tcPr>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Wskaźnik mierzy l</w:t>
            </w:r>
            <w:r w:rsidR="00BA1688" w:rsidRPr="00AD78C4">
              <w:rPr>
                <w:rFonts w:asciiTheme="minorHAnsi" w:eastAsiaTheme="minorHAnsi" w:hAnsiTheme="minorHAnsi"/>
                <w:sz w:val="20"/>
                <w:lang w:eastAsia="en-US"/>
              </w:rPr>
              <w:t>iczbę osób objętych szkoleniami</w:t>
            </w:r>
            <w:r w:rsidRPr="00AD78C4">
              <w:rPr>
                <w:rFonts w:asciiTheme="minorHAnsi" w:eastAsiaTheme="minorHAnsi" w:hAnsiTheme="minorHAnsi"/>
                <w:sz w:val="20"/>
                <w:lang w:eastAsia="en-US"/>
              </w:rPr>
              <w:t xml:space="preserve">/ doradztwem w zakresie nabywania / doskonalenia umiejętności warunkujących efektywne korzystanie </w:t>
            </w:r>
            <w:r w:rsidR="00BA1688" w:rsidRPr="00AD78C4">
              <w:rPr>
                <w:rFonts w:asciiTheme="minorHAnsi" w:eastAsiaTheme="minorHAnsi" w:hAnsiTheme="minorHAnsi"/>
                <w:sz w:val="20"/>
                <w:lang w:eastAsia="en-US"/>
              </w:rPr>
              <w:br/>
            </w:r>
            <w:r w:rsidRPr="00AD78C4">
              <w:rPr>
                <w:rFonts w:asciiTheme="minorHAnsi" w:eastAsiaTheme="minorHAnsi" w:hAnsiTheme="minorHAnsi"/>
                <w:sz w:val="20"/>
                <w:lang w:eastAsia="en-US"/>
              </w:rPr>
              <w:t xml:space="preserve">z mediów elektronicznych tj. m.in. korzystania z komputera, różnych rodzajów oprogramowania, internetu oraz kompetencji ściśle informatycznych (np. programowanie, zarządzanie bazami danych, administracja sieciami, administracja witrynami internetowymi). </w:t>
            </w:r>
          </w:p>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 xml:space="preserve">Wskaźnik ma agregować wszystkie osoby objęte wsparciem w zakresie TIK we wszystkich programach i projektach, także tych, gdzie szkolenie dotyczy obsługi specyficznego systemu teleinformatycznego, którego wdrożenia dotyczy projekt. Taka sytuacja może wystąpić przy cross-financingu w projektach </w:t>
            </w:r>
            <w:r w:rsidRPr="00AD78C4">
              <w:rPr>
                <w:rFonts w:asciiTheme="minorHAnsi" w:eastAsiaTheme="minorHAnsi" w:hAnsiTheme="minorHAnsi"/>
                <w:sz w:val="20"/>
                <w:lang w:eastAsia="en-US"/>
              </w:rPr>
              <w:lastRenderedPageBreak/>
              <w:t>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6D7023" w:rsidRPr="00AD78C4" w:rsidRDefault="006D7103" w:rsidP="00214F27">
            <w:pPr>
              <w:spacing w:before="0" w:line="240" w:lineRule="auto"/>
              <w:jc w:val="center"/>
              <w:rPr>
                <w:rFonts w:asciiTheme="minorHAnsi" w:eastAsiaTheme="minorHAnsi" w:hAnsiTheme="minorHAnsi"/>
                <w:sz w:val="20"/>
                <w:lang w:eastAsia="en-US"/>
              </w:rPr>
            </w:pPr>
            <w:r w:rsidRPr="00AD78C4">
              <w:rPr>
                <w:rFonts w:asciiTheme="minorHAnsi" w:eastAsiaTheme="minorHAnsi" w:hAnsiTheme="minorHAnsi"/>
                <w:sz w:val="20"/>
                <w:lang w:eastAsia="en-US"/>
              </w:rPr>
              <w:lastRenderedPageBreak/>
              <w:t>h</w:t>
            </w:r>
            <w:r w:rsidR="006D7023" w:rsidRPr="00AD78C4">
              <w:rPr>
                <w:rFonts w:asciiTheme="minorHAnsi" w:eastAsiaTheme="minorHAnsi" w:hAnsiTheme="minorHAnsi"/>
                <w:sz w:val="20"/>
                <w:lang w:eastAsia="en-US"/>
              </w:rPr>
              <w:t>oryzontalny</w:t>
            </w:r>
          </w:p>
        </w:tc>
      </w:tr>
      <w:tr w:rsidR="006D7023" w:rsidRPr="00AD78C4" w:rsidTr="00214F27">
        <w:trPr>
          <w:trHeight w:val="20"/>
          <w:jc w:val="center"/>
        </w:trPr>
        <w:tc>
          <w:tcPr>
            <w:tcW w:w="1127" w:type="pct"/>
            <w:shd w:val="clear" w:color="auto" w:fill="auto"/>
          </w:tcPr>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cs="Arial"/>
                <w:color w:val="000000"/>
                <w:sz w:val="20"/>
                <w:lang w:eastAsia="en-US"/>
              </w:rPr>
              <w:lastRenderedPageBreak/>
              <w:t>Liczba projektów, w których sfinansowano koszty racjonalnych usprawnień dla osób z niepełnosprawnościami</w:t>
            </w:r>
          </w:p>
        </w:tc>
        <w:tc>
          <w:tcPr>
            <w:tcW w:w="458" w:type="pct"/>
          </w:tcPr>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 xml:space="preserve">szt. </w:t>
            </w:r>
          </w:p>
        </w:tc>
        <w:tc>
          <w:tcPr>
            <w:tcW w:w="2442" w:type="pct"/>
            <w:shd w:val="clear" w:color="auto" w:fill="auto"/>
          </w:tcPr>
          <w:p w:rsidR="006D7023" w:rsidRPr="00AD78C4" w:rsidRDefault="006D7023" w:rsidP="00214F27">
            <w:pPr>
              <w:autoSpaceDE w:val="0"/>
              <w:autoSpaceDN w:val="0"/>
              <w:adjustRightInd w:val="0"/>
              <w:spacing w:before="0" w:line="240" w:lineRule="auto"/>
              <w:rPr>
                <w:rFonts w:asciiTheme="minorHAnsi" w:eastAsiaTheme="minorHAnsi" w:hAnsiTheme="minorHAnsi" w:cs="Arial"/>
                <w:color w:val="000000"/>
                <w:sz w:val="20"/>
                <w:lang w:eastAsia="en-US"/>
              </w:rPr>
            </w:pPr>
            <w:r w:rsidRPr="00AD78C4">
              <w:rPr>
                <w:rFonts w:asciiTheme="minorHAnsi" w:eastAsiaTheme="minorHAnsi" w:hAnsiTheme="minorHAnsi" w:cs="Arial"/>
                <w:color w:val="000000"/>
                <w:sz w:val="20"/>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w:t>
            </w:r>
            <w:r w:rsidR="00BA1688" w:rsidRPr="00AD78C4">
              <w:rPr>
                <w:rFonts w:asciiTheme="minorHAnsi" w:eastAsiaTheme="minorHAnsi" w:hAnsiTheme="minorHAnsi" w:cs="Arial"/>
                <w:color w:val="000000"/>
                <w:sz w:val="20"/>
                <w:lang w:eastAsia="en-US"/>
              </w:rPr>
              <w:br/>
            </w:r>
            <w:r w:rsidRPr="00AD78C4">
              <w:rPr>
                <w:rFonts w:asciiTheme="minorHAnsi" w:eastAsiaTheme="minorHAnsi" w:hAnsiTheme="minorHAnsi" w:cs="Arial"/>
                <w:color w:val="000000"/>
                <w:sz w:val="20"/>
                <w:lang w:eastAsia="en-US"/>
              </w:rPr>
              <w:t xml:space="preserve">z wszelkich praw człowieka i podstawowych wolności oraz ich wykonywania na zasadzie równości z innymi osobami. Wskaźnik mierzony w momencie rozliczenia wydatku związanego z racjonalnymi usprawnieniami. </w:t>
            </w:r>
          </w:p>
          <w:p w:rsidR="006D7023" w:rsidRPr="00AD78C4" w:rsidRDefault="006D7023" w:rsidP="00214F27">
            <w:pPr>
              <w:autoSpaceDE w:val="0"/>
              <w:autoSpaceDN w:val="0"/>
              <w:adjustRightInd w:val="0"/>
              <w:spacing w:before="0" w:line="240" w:lineRule="auto"/>
              <w:rPr>
                <w:rFonts w:asciiTheme="minorHAnsi" w:eastAsiaTheme="minorHAnsi" w:hAnsiTheme="minorHAnsi" w:cs="Arial"/>
                <w:color w:val="000000"/>
                <w:sz w:val="20"/>
                <w:lang w:eastAsia="en-US"/>
              </w:rPr>
            </w:pPr>
            <w:r w:rsidRPr="00AD78C4">
              <w:rPr>
                <w:rFonts w:asciiTheme="minorHAnsi" w:eastAsiaTheme="minorHAnsi" w:hAnsiTheme="minorHAnsi" w:cs="Arial"/>
                <w:color w:val="000000"/>
                <w:sz w:val="20"/>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6D7023" w:rsidRPr="00AD78C4" w:rsidRDefault="006D7023" w:rsidP="00214F27">
            <w:pPr>
              <w:spacing w:before="0" w:line="240" w:lineRule="auto"/>
              <w:rPr>
                <w:rFonts w:asciiTheme="minorHAnsi" w:eastAsiaTheme="minorHAnsi" w:hAnsiTheme="minorHAnsi"/>
                <w:sz w:val="20"/>
                <w:lang w:eastAsia="en-US"/>
              </w:rPr>
            </w:pPr>
            <w:r w:rsidRPr="00AD78C4">
              <w:rPr>
                <w:rFonts w:asciiTheme="minorHAnsi" w:eastAsiaTheme="minorHAnsi" w:hAnsiTheme="minorHAnsi" w:cs="Arial"/>
                <w:color w:val="000000"/>
                <w:sz w:val="20"/>
                <w:lang w:eastAsia="en-US"/>
              </w:rPr>
              <w:t xml:space="preserve">Definicja na podstawie </w:t>
            </w:r>
            <w:r w:rsidRPr="00AD78C4">
              <w:rPr>
                <w:rFonts w:asciiTheme="minorHAnsi" w:eastAsiaTheme="minorHAnsi" w:hAnsiTheme="minorHAnsi" w:cs="Arial"/>
                <w:i/>
                <w:iCs/>
                <w:color w:val="000000"/>
                <w:sz w:val="20"/>
                <w:lang w:eastAsia="en-US"/>
              </w:rPr>
              <w:t xml:space="preserve">Wytycznych w zakresie realizacji zasady równości szans i niedyskryminacji, </w:t>
            </w:r>
            <w:r w:rsidR="00BA1688" w:rsidRPr="00AD78C4">
              <w:rPr>
                <w:rFonts w:asciiTheme="minorHAnsi" w:eastAsiaTheme="minorHAnsi" w:hAnsiTheme="minorHAnsi" w:cs="Arial"/>
                <w:i/>
                <w:iCs/>
                <w:color w:val="000000"/>
                <w:sz w:val="20"/>
                <w:lang w:eastAsia="en-US"/>
              </w:rPr>
              <w:br/>
            </w:r>
            <w:r w:rsidRPr="00AD78C4">
              <w:rPr>
                <w:rFonts w:asciiTheme="minorHAnsi" w:eastAsiaTheme="minorHAnsi" w:hAnsiTheme="minorHAnsi" w:cs="Arial"/>
                <w:i/>
                <w:iCs/>
                <w:color w:val="000000"/>
                <w:sz w:val="20"/>
                <w:lang w:eastAsia="en-US"/>
              </w:rPr>
              <w:t>w tym dostępności dla osób z niepełnosprawnościami oraz równości szans kobiet i mężczyzn w ramach funduszy unijnych na lata 2014-2020</w:t>
            </w:r>
            <w:r w:rsidRPr="00AD78C4">
              <w:rPr>
                <w:rFonts w:asciiTheme="minorHAnsi" w:eastAsiaTheme="minorHAnsi" w:hAnsiTheme="minorHAnsi" w:cs="Arial"/>
                <w:color w:val="000000"/>
                <w:sz w:val="20"/>
                <w:lang w:eastAsia="en-US"/>
              </w:rPr>
              <w:t>.</w:t>
            </w:r>
          </w:p>
        </w:tc>
        <w:tc>
          <w:tcPr>
            <w:tcW w:w="973" w:type="pct"/>
          </w:tcPr>
          <w:p w:rsidR="006D7023" w:rsidRPr="00AD78C4" w:rsidRDefault="006D7023" w:rsidP="00214F27">
            <w:pPr>
              <w:autoSpaceDE w:val="0"/>
              <w:autoSpaceDN w:val="0"/>
              <w:adjustRightInd w:val="0"/>
              <w:spacing w:before="0" w:line="240" w:lineRule="auto"/>
              <w:jc w:val="center"/>
              <w:rPr>
                <w:rFonts w:asciiTheme="minorHAnsi" w:eastAsiaTheme="minorHAnsi" w:hAnsiTheme="minorHAnsi" w:cs="Arial"/>
                <w:color w:val="000000"/>
                <w:sz w:val="20"/>
                <w:lang w:eastAsia="en-US"/>
              </w:rPr>
            </w:pPr>
            <w:r w:rsidRPr="00AD78C4">
              <w:rPr>
                <w:rFonts w:asciiTheme="minorHAnsi" w:eastAsiaTheme="minorHAnsi" w:hAnsiTheme="minorHAnsi" w:cs="Arial"/>
                <w:color w:val="000000"/>
                <w:sz w:val="20"/>
                <w:lang w:eastAsia="en-US"/>
              </w:rPr>
              <w:t>horyzontalny</w:t>
            </w:r>
          </w:p>
        </w:tc>
      </w:tr>
    </w:tbl>
    <w:p w:rsidR="006D7023" w:rsidRPr="00AD78C4" w:rsidRDefault="006D7023" w:rsidP="006D7023">
      <w:pPr>
        <w:autoSpaceDE w:val="0"/>
        <w:autoSpaceDN w:val="0"/>
        <w:adjustRightInd w:val="0"/>
        <w:spacing w:before="0" w:line="240" w:lineRule="auto"/>
        <w:jc w:val="both"/>
        <w:rPr>
          <w:rFonts w:asciiTheme="minorHAnsi" w:hAnsiTheme="minorHAnsi"/>
          <w:szCs w:val="22"/>
        </w:rPr>
      </w:pPr>
    </w:p>
    <w:p w:rsidR="00DF6D97" w:rsidRPr="00AD78C4" w:rsidRDefault="00DF6D97" w:rsidP="00187C0F">
      <w:pPr>
        <w:autoSpaceDE w:val="0"/>
        <w:autoSpaceDN w:val="0"/>
        <w:adjustRightInd w:val="0"/>
        <w:spacing w:before="0" w:line="240" w:lineRule="auto"/>
        <w:rPr>
          <w:rFonts w:asciiTheme="minorHAnsi" w:hAnsiTheme="minorHAnsi"/>
        </w:rPr>
      </w:pPr>
    </w:p>
    <w:p w:rsidR="00DF6D97" w:rsidRPr="00AD78C4" w:rsidRDefault="00DF6D97" w:rsidP="006E176E">
      <w:pPr>
        <w:spacing w:before="0" w:after="200" w:line="276" w:lineRule="auto"/>
        <w:jc w:val="both"/>
        <w:rPr>
          <w:rFonts w:asciiTheme="minorHAnsi" w:hAnsiTheme="minorHAnsi" w:cs="Arial"/>
          <w:szCs w:val="22"/>
        </w:rPr>
      </w:pPr>
      <w:r w:rsidRPr="00AD78C4">
        <w:rPr>
          <w:rFonts w:asciiTheme="minorHAnsi" w:hAnsiTheme="minorHAnsi"/>
          <w:b/>
          <w:szCs w:val="22"/>
        </w:rPr>
        <w:t>Wskaźniki rezultatu bezpośredniego</w:t>
      </w:r>
      <w:r w:rsidRPr="00AD78C4">
        <w:rPr>
          <w:rFonts w:asciiTheme="minorHAnsi" w:hAnsiTheme="minorHAnsi"/>
          <w:szCs w:val="22"/>
        </w:rPr>
        <w:t xml:space="preserve"> są to w</w:t>
      </w:r>
      <w:r w:rsidRPr="00AD78C4">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AD78C4" w:rsidRDefault="00DF6D97" w:rsidP="006E176E">
      <w:pPr>
        <w:pStyle w:val="Default"/>
        <w:spacing w:line="276" w:lineRule="auto"/>
        <w:jc w:val="both"/>
        <w:rPr>
          <w:rFonts w:asciiTheme="minorHAnsi" w:hAnsiTheme="minorHAnsi"/>
          <w:sz w:val="22"/>
          <w:szCs w:val="22"/>
        </w:rPr>
      </w:pPr>
      <w:r w:rsidRPr="00AD78C4">
        <w:rPr>
          <w:rFonts w:asciiTheme="minorHAnsi" w:hAnsiTheme="minorHAnsi"/>
          <w:sz w:val="22"/>
          <w:szCs w:val="22"/>
        </w:rPr>
        <w:t xml:space="preserve">Dla każdego z wybranych wskaźników Wnioskodawca zobowiązany jest do wskazania „Jednostki miary”, „Wartości bazowej”, „Wartości docelowej wskaźnika”, a także „Źródła informacji o wskaźniku”. </w:t>
      </w:r>
    </w:p>
    <w:p w:rsidR="00DF6D97" w:rsidRPr="00AD78C4" w:rsidRDefault="00DF6D97" w:rsidP="006E176E">
      <w:pPr>
        <w:pStyle w:val="Default"/>
        <w:spacing w:line="276" w:lineRule="auto"/>
        <w:jc w:val="both"/>
        <w:rPr>
          <w:rFonts w:asciiTheme="minorHAnsi" w:hAnsiTheme="minorHAnsi"/>
          <w:sz w:val="22"/>
          <w:szCs w:val="22"/>
        </w:rPr>
      </w:pPr>
      <w:r w:rsidRPr="00AD78C4">
        <w:rPr>
          <w:rFonts w:asciiTheme="minorHAnsi" w:hAnsiTheme="minorHAnsi"/>
          <w:sz w:val="22"/>
          <w:szCs w:val="22"/>
        </w:rPr>
        <w:t>Wartość docelowa dla wskaźnika rezultatu to wyrażony liczbowo stan danego wskaźnika uzyskany w efekcie realizacji projektu</w:t>
      </w:r>
      <w:r w:rsidR="00F9504B" w:rsidRPr="00AD78C4">
        <w:rPr>
          <w:rFonts w:asciiTheme="minorHAnsi" w:hAnsiTheme="minorHAnsi"/>
          <w:sz w:val="22"/>
          <w:szCs w:val="22"/>
        </w:rPr>
        <w:t>.</w:t>
      </w:r>
      <w:r w:rsidRPr="00AD78C4">
        <w:rPr>
          <w:rFonts w:asciiTheme="minorHAnsi" w:hAnsiTheme="minorHAnsi"/>
          <w:sz w:val="22"/>
          <w:szCs w:val="22"/>
        </w:rPr>
        <w:t xml:space="preserve"> </w:t>
      </w:r>
    </w:p>
    <w:p w:rsidR="00871F22" w:rsidRPr="00AD78C4" w:rsidRDefault="00871F22" w:rsidP="006E176E">
      <w:pPr>
        <w:autoSpaceDE w:val="0"/>
        <w:autoSpaceDN w:val="0"/>
        <w:adjustRightInd w:val="0"/>
        <w:spacing w:before="0" w:line="276" w:lineRule="auto"/>
        <w:jc w:val="both"/>
        <w:rPr>
          <w:rFonts w:asciiTheme="minorHAnsi" w:hAnsiTheme="minorHAnsi"/>
          <w:szCs w:val="22"/>
        </w:rPr>
      </w:pPr>
      <w:r w:rsidRPr="00AD78C4">
        <w:rPr>
          <w:rFonts w:asciiTheme="minorHAnsi" w:hAnsiTheme="minorHAnsi"/>
          <w:szCs w:val="22"/>
        </w:rPr>
        <w:t>Jako źródło informacji o wskaźniku wskazać należy odpowiedni dokument (np. ewidencja</w:t>
      </w:r>
      <w:r w:rsidR="00944996" w:rsidRPr="00AD78C4">
        <w:rPr>
          <w:rFonts w:asciiTheme="minorHAnsi" w:hAnsiTheme="minorHAnsi"/>
          <w:szCs w:val="22"/>
        </w:rPr>
        <w:t xml:space="preserve"> </w:t>
      </w:r>
      <w:r w:rsidR="00D23755" w:rsidRPr="00AD78C4">
        <w:rPr>
          <w:rFonts w:asciiTheme="minorHAnsi" w:hAnsiTheme="minorHAnsi"/>
          <w:szCs w:val="22"/>
        </w:rPr>
        <w:t>zgłoszeń patentowych</w:t>
      </w:r>
      <w:r w:rsidRPr="00AD78C4">
        <w:rPr>
          <w:rFonts w:asciiTheme="minorHAnsi" w:hAnsiTheme="minorHAnsi"/>
          <w:szCs w:val="22"/>
        </w:rPr>
        <w:t>.</w:t>
      </w:r>
    </w:p>
    <w:p w:rsidR="00C55C4D" w:rsidRPr="00AD78C4" w:rsidRDefault="003D3BC5" w:rsidP="00416940">
      <w:pPr>
        <w:autoSpaceDE w:val="0"/>
        <w:autoSpaceDN w:val="0"/>
        <w:adjustRightInd w:val="0"/>
        <w:spacing w:before="120" w:after="120" w:line="276" w:lineRule="auto"/>
        <w:jc w:val="both"/>
        <w:rPr>
          <w:rFonts w:asciiTheme="minorHAnsi" w:hAnsiTheme="minorHAnsi"/>
          <w:szCs w:val="22"/>
        </w:rPr>
      </w:pPr>
      <w:r w:rsidRPr="00AD78C4">
        <w:rPr>
          <w:rFonts w:asciiTheme="minorHAnsi" w:hAnsiTheme="minorHAnsi"/>
          <w:szCs w:val="22"/>
        </w:rPr>
        <w:lastRenderedPageBreak/>
        <w:t xml:space="preserve">W ramach Działania </w:t>
      </w:r>
      <w:r w:rsidR="00A214C1" w:rsidRPr="00AD78C4">
        <w:rPr>
          <w:rFonts w:asciiTheme="minorHAnsi" w:hAnsiTheme="minorHAnsi"/>
          <w:szCs w:val="22"/>
        </w:rPr>
        <w:t>1.</w:t>
      </w:r>
      <w:r w:rsidR="00FB70DB" w:rsidRPr="00AD78C4">
        <w:rPr>
          <w:rFonts w:asciiTheme="minorHAnsi" w:hAnsiTheme="minorHAnsi"/>
          <w:szCs w:val="22"/>
        </w:rPr>
        <w:t>4 C</w:t>
      </w:r>
      <w:r w:rsidR="008F1A47" w:rsidRPr="00AD78C4">
        <w:rPr>
          <w:rFonts w:asciiTheme="minorHAnsi" w:hAnsiTheme="minorHAnsi"/>
          <w:szCs w:val="22"/>
        </w:rPr>
        <w:t xml:space="preserve"> </w:t>
      </w:r>
      <w:r w:rsidRPr="00AD78C4">
        <w:rPr>
          <w:rFonts w:asciiTheme="minorHAnsi" w:hAnsiTheme="minorHAnsi"/>
          <w:szCs w:val="22"/>
        </w:rPr>
        <w:t>określono poniższe wskaźniki</w:t>
      </w:r>
      <w:r w:rsidRPr="00AD78C4">
        <w:rPr>
          <w:rFonts w:asciiTheme="minorHAnsi" w:hAnsiTheme="minorHAnsi"/>
          <w:b/>
          <w:szCs w:val="22"/>
        </w:rPr>
        <w:t xml:space="preserve"> rezultatu bezpośredniego</w:t>
      </w:r>
      <w:r w:rsidRPr="00AD78C4">
        <w:rPr>
          <w:rFonts w:asciiTheme="minorHAnsi" w:hAnsiTheme="minorHAnsi"/>
          <w:szCs w:val="22"/>
        </w:rPr>
        <w:t>:</w:t>
      </w: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tblPr>
      <w:tblGrid>
        <w:gridCol w:w="2216"/>
        <w:gridCol w:w="1306"/>
        <w:gridCol w:w="3841"/>
        <w:gridCol w:w="1955"/>
      </w:tblGrid>
      <w:tr w:rsidR="006D7023" w:rsidRPr="00AD78C4" w:rsidTr="00214F27">
        <w:trPr>
          <w:trHeight w:val="19"/>
          <w:jc w:val="center"/>
        </w:trPr>
        <w:tc>
          <w:tcPr>
            <w:tcW w:w="1189" w:type="pct"/>
            <w:shd w:val="clear" w:color="auto" w:fill="auto"/>
            <w:vAlign w:val="center"/>
          </w:tcPr>
          <w:p w:rsidR="006D7023" w:rsidRPr="00AD78C4" w:rsidRDefault="006D7023" w:rsidP="00214F27">
            <w:pPr>
              <w:spacing w:before="0" w:line="240" w:lineRule="auto"/>
              <w:jc w:val="center"/>
              <w:rPr>
                <w:rFonts w:asciiTheme="minorHAnsi" w:hAnsiTheme="minorHAnsi"/>
                <w:b/>
                <w:sz w:val="20"/>
              </w:rPr>
            </w:pPr>
            <w:r w:rsidRPr="00AD78C4">
              <w:rPr>
                <w:rFonts w:asciiTheme="minorHAnsi" w:hAnsiTheme="minorHAnsi"/>
                <w:b/>
                <w:sz w:val="20"/>
              </w:rPr>
              <w:t>Nazwa wskaźnika rezultatu bezpośredniego</w:t>
            </w:r>
          </w:p>
        </w:tc>
        <w:tc>
          <w:tcPr>
            <w:tcW w:w="701" w:type="pct"/>
          </w:tcPr>
          <w:p w:rsidR="006D7023" w:rsidRPr="00AD78C4" w:rsidRDefault="006D7023" w:rsidP="00214F27">
            <w:pPr>
              <w:suppressAutoHyphens/>
              <w:spacing w:before="0" w:line="240" w:lineRule="auto"/>
              <w:jc w:val="center"/>
              <w:rPr>
                <w:rFonts w:asciiTheme="minorHAnsi" w:hAnsiTheme="minorHAnsi"/>
                <w:b/>
                <w:bCs/>
                <w:sz w:val="20"/>
              </w:rPr>
            </w:pPr>
            <w:r w:rsidRPr="00AD78C4">
              <w:rPr>
                <w:rFonts w:asciiTheme="minorHAnsi" w:hAnsiTheme="minorHAnsi"/>
                <w:b/>
                <w:bCs/>
                <w:sz w:val="20"/>
              </w:rPr>
              <w:t>Jednostka miary</w:t>
            </w:r>
          </w:p>
        </w:tc>
        <w:tc>
          <w:tcPr>
            <w:tcW w:w="2061" w:type="pct"/>
            <w:shd w:val="clear" w:color="auto" w:fill="auto"/>
            <w:vAlign w:val="center"/>
          </w:tcPr>
          <w:p w:rsidR="006D7023" w:rsidRPr="00AD78C4" w:rsidRDefault="006D7023" w:rsidP="00214F27">
            <w:pPr>
              <w:suppressAutoHyphens/>
              <w:spacing w:before="0" w:line="240" w:lineRule="auto"/>
              <w:jc w:val="center"/>
              <w:rPr>
                <w:rFonts w:asciiTheme="minorHAnsi" w:hAnsiTheme="minorHAnsi"/>
                <w:b/>
                <w:sz w:val="20"/>
              </w:rPr>
            </w:pPr>
            <w:r w:rsidRPr="00AD78C4">
              <w:rPr>
                <w:rFonts w:asciiTheme="minorHAnsi" w:hAnsiTheme="minorHAnsi"/>
                <w:b/>
                <w:bCs/>
                <w:sz w:val="20"/>
              </w:rPr>
              <w:t>Definicja wskaźnika</w:t>
            </w:r>
          </w:p>
        </w:tc>
        <w:tc>
          <w:tcPr>
            <w:tcW w:w="1049" w:type="pct"/>
          </w:tcPr>
          <w:p w:rsidR="006D7023" w:rsidRPr="00AD78C4" w:rsidRDefault="006D7023" w:rsidP="00214F27">
            <w:pPr>
              <w:suppressAutoHyphens/>
              <w:spacing w:before="0" w:line="240" w:lineRule="auto"/>
              <w:jc w:val="center"/>
              <w:rPr>
                <w:rFonts w:asciiTheme="minorHAnsi" w:hAnsiTheme="minorHAnsi"/>
                <w:b/>
                <w:bCs/>
                <w:sz w:val="20"/>
              </w:rPr>
            </w:pPr>
            <w:r w:rsidRPr="00AD78C4">
              <w:rPr>
                <w:rFonts w:asciiTheme="minorHAnsi" w:hAnsiTheme="minorHAnsi"/>
                <w:b/>
                <w:bCs/>
                <w:sz w:val="20"/>
              </w:rPr>
              <w:t>Rodzaj dokumentu, w którym określono wskaźnik</w:t>
            </w:r>
          </w:p>
        </w:tc>
      </w:tr>
      <w:tr w:rsidR="00FB70DB" w:rsidRPr="00AD78C4" w:rsidTr="00755600">
        <w:trPr>
          <w:trHeight w:val="2896"/>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AD78C4" w:rsidRDefault="00FB70DB" w:rsidP="00661C0F">
            <w:pPr>
              <w:spacing w:after="200" w:line="240" w:lineRule="auto"/>
              <w:rPr>
                <w:rFonts w:asciiTheme="minorHAnsi" w:eastAsia="Calibri" w:hAnsiTheme="minorHAnsi"/>
                <w:sz w:val="20"/>
              </w:rPr>
            </w:pPr>
            <w:r w:rsidRPr="00AD78C4">
              <w:rPr>
                <w:rFonts w:asciiTheme="minorHAnsi" w:eastAsia="Calibri" w:hAnsiTheme="minorHAnsi"/>
                <w:sz w:val="20"/>
              </w:rPr>
              <w:t>Liczba kontraktów handlowych zagranicznych podpisanych przez przedsiębiorstwa wsparte w zakresie internacjonalizacji</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AD78C4" w:rsidRDefault="00FB70DB" w:rsidP="00661C0F">
            <w:pPr>
              <w:spacing w:after="200" w:line="240" w:lineRule="auto"/>
              <w:rPr>
                <w:rFonts w:asciiTheme="minorHAnsi" w:hAnsiTheme="minorHAnsi"/>
                <w:sz w:val="20"/>
              </w:rPr>
            </w:pPr>
            <w:r w:rsidRPr="00AD78C4">
              <w:rPr>
                <w:rFonts w:asciiTheme="minorHAnsi" w:hAnsiTheme="minorHAnsi"/>
                <w:sz w:val="20"/>
              </w:rPr>
              <w:t>szt.</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AD78C4" w:rsidRDefault="00FB70DB" w:rsidP="00661C0F">
            <w:pPr>
              <w:spacing w:after="200" w:line="240" w:lineRule="auto"/>
              <w:rPr>
                <w:rFonts w:asciiTheme="minorHAnsi" w:eastAsiaTheme="minorHAnsi" w:hAnsiTheme="minorHAnsi"/>
                <w:sz w:val="20"/>
              </w:rPr>
            </w:pPr>
            <w:r w:rsidRPr="00AD78C4">
              <w:rPr>
                <w:rFonts w:asciiTheme="minorHAnsi" w:eastAsiaTheme="minorHAnsi" w:hAnsiTheme="minorHAnsi"/>
                <w:sz w:val="20"/>
              </w:rPr>
              <w:t>Liczba kontraktów handlowych podpisanych przez przedsiębiorstwa z partnerami z zagranicy w wyniku udzielonego</w:t>
            </w:r>
            <w:r w:rsidR="007F1D52" w:rsidRPr="00AD78C4">
              <w:rPr>
                <w:rFonts w:asciiTheme="minorHAnsi" w:eastAsiaTheme="minorHAnsi" w:hAnsiTheme="minorHAnsi"/>
                <w:sz w:val="20"/>
              </w:rPr>
              <w:t xml:space="preserve"> </w:t>
            </w:r>
            <w:r w:rsidRPr="00AD78C4">
              <w:rPr>
                <w:rFonts w:asciiTheme="minorHAnsi" w:eastAsiaTheme="minorHAnsi" w:hAnsiTheme="minorHAnsi"/>
                <w:sz w:val="20"/>
              </w:rPr>
              <w:t xml:space="preserve">wsparcia w zakresie umiędzynarodowienia działalności lub poprawy dostępu do rynków zagranicznych. </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AD78C4" w:rsidRDefault="00FB70DB" w:rsidP="00755600">
            <w:pPr>
              <w:spacing w:before="0" w:after="200" w:line="276" w:lineRule="auto"/>
              <w:rPr>
                <w:rFonts w:asciiTheme="minorHAnsi" w:hAnsiTheme="minorHAnsi"/>
                <w:sz w:val="20"/>
              </w:rPr>
            </w:pPr>
            <w:r w:rsidRPr="00AD78C4">
              <w:rPr>
                <w:rFonts w:asciiTheme="minorHAnsi" w:hAnsiTheme="minorHAnsi"/>
                <w:sz w:val="20"/>
              </w:rPr>
              <w:t>RPO WD  2014-2020</w:t>
            </w:r>
          </w:p>
        </w:tc>
      </w:tr>
      <w:tr w:rsidR="00FB70DB" w:rsidRPr="00AD78C4" w:rsidTr="0075560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AD78C4" w:rsidRDefault="00FB70DB" w:rsidP="00755600">
            <w:pPr>
              <w:spacing w:after="200" w:line="276" w:lineRule="auto"/>
              <w:rPr>
                <w:rFonts w:asciiTheme="minorHAnsi" w:eastAsia="Calibri" w:hAnsiTheme="minorHAnsi"/>
                <w:sz w:val="20"/>
              </w:rPr>
            </w:pPr>
            <w:r w:rsidRPr="00AD78C4">
              <w:rPr>
                <w:rFonts w:asciiTheme="minorHAnsi" w:eastAsia="Calibri" w:hAnsiTheme="minorHAnsi"/>
                <w:sz w:val="20"/>
              </w:rPr>
              <w:t xml:space="preserve">Wzrost zatrudnienia we wspieranych przedsiębiorstwach O/K/M </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AD78C4" w:rsidRDefault="00FB70DB" w:rsidP="00755600">
            <w:pPr>
              <w:spacing w:after="200" w:line="276" w:lineRule="auto"/>
              <w:rPr>
                <w:rFonts w:asciiTheme="minorHAnsi" w:hAnsiTheme="minorHAnsi"/>
                <w:sz w:val="20"/>
              </w:rPr>
            </w:pPr>
            <w:r w:rsidRPr="00AD78C4">
              <w:rPr>
                <w:rFonts w:asciiTheme="minorHAnsi" w:hAnsiTheme="minorHAnsi"/>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AD78C4" w:rsidRDefault="00FB70DB" w:rsidP="0030111B">
            <w:pPr>
              <w:spacing w:after="200" w:line="240" w:lineRule="auto"/>
              <w:rPr>
                <w:rFonts w:asciiTheme="minorHAnsi" w:eastAsiaTheme="minorHAnsi" w:hAnsiTheme="minorHAnsi"/>
                <w:sz w:val="20"/>
                <w:lang w:val="en-US"/>
              </w:rPr>
            </w:pPr>
            <w:r w:rsidRPr="00AD78C4">
              <w:rPr>
                <w:rFonts w:asciiTheme="minorHAnsi" w:eastAsiaTheme="minorHAnsi" w:hAnsiTheme="minorHAnsi"/>
                <w:sz w:val="20"/>
                <w:lang w:val="en-US"/>
              </w:rPr>
              <w:t xml:space="preserve">Gross new working positions in supported enterprises in full time equivalents (FTE). Essentially a 'before-after' indicator which captures the part of the employment increase </w:t>
            </w:r>
            <w:proofErr w:type="gramStart"/>
            <w:r w:rsidRPr="00AD78C4">
              <w:rPr>
                <w:rFonts w:asciiTheme="minorHAnsi" w:eastAsiaTheme="minorHAnsi" w:hAnsiTheme="minorHAnsi"/>
                <w:sz w:val="20"/>
                <w:lang w:val="en-US"/>
              </w:rPr>
              <w:t>that  is</w:t>
            </w:r>
            <w:proofErr w:type="gramEnd"/>
            <w:r w:rsidRPr="00AD78C4">
              <w:rPr>
                <w:rFonts w:asciiTheme="minorHAnsi" w:eastAsiaTheme="minorHAnsi" w:hAnsiTheme="minorHAnsi"/>
                <w:sz w:val="20"/>
                <w:lang w:val="en-US"/>
              </w:rPr>
              <w:t xml:space="preserve">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AD78C4">
              <w:rPr>
                <w:rFonts w:asciiTheme="minorHAnsi" w:eastAsiaTheme="minorHAnsi" w:hAnsiTheme="minorHAnsi"/>
                <w:sz w:val="20"/>
                <w:lang w:val="en-US"/>
              </w:rPr>
              <w:t>organisation</w:t>
            </w:r>
            <w:proofErr w:type="spellEnd"/>
            <w:r w:rsidRPr="00AD78C4">
              <w:rPr>
                <w:rFonts w:asciiTheme="minorHAnsi" w:eastAsiaTheme="minorHAnsi" w:hAnsiTheme="minorHAnsi"/>
                <w:sz w:val="20"/>
                <w:lang w:val="en-US"/>
              </w:rPr>
              <w:t xml:space="preserve">. The indicator should be used if the employment increase can plausibly be attributed to the support. Full-time equivalent: Jobs can be full time, </w:t>
            </w:r>
            <w:proofErr w:type="spellStart"/>
            <w:r w:rsidRPr="00AD78C4">
              <w:rPr>
                <w:rFonts w:asciiTheme="minorHAnsi" w:eastAsiaTheme="minorHAnsi" w:hAnsiTheme="minorHAnsi"/>
                <w:sz w:val="20"/>
                <w:lang w:val="en-US"/>
              </w:rPr>
              <w:t>parttime</w:t>
            </w:r>
            <w:proofErr w:type="spellEnd"/>
            <w:r w:rsidRPr="00AD78C4">
              <w:rPr>
                <w:rFonts w:asciiTheme="minorHAnsi" w:eastAsiaTheme="minorHAnsi" w:hAnsiTheme="minorHAnsi"/>
                <w:sz w:val="20"/>
                <w:lang w:val="en-US"/>
              </w:rPr>
              <w:t xml:space="preserve"> or seasonal. Seasonal and part time jobs are to be converted to FTE using ILO/statistical/other standards. </w:t>
            </w:r>
          </w:p>
          <w:p w:rsidR="00FB70DB" w:rsidRPr="00AD78C4" w:rsidRDefault="00FB70DB" w:rsidP="0030111B">
            <w:pPr>
              <w:spacing w:after="200" w:line="240" w:lineRule="auto"/>
              <w:rPr>
                <w:rFonts w:asciiTheme="minorHAnsi" w:eastAsiaTheme="minorHAnsi" w:hAnsiTheme="minorHAnsi"/>
                <w:sz w:val="20"/>
              </w:rPr>
            </w:pPr>
            <w:r w:rsidRPr="00AD78C4">
              <w:rPr>
                <w:rFonts w:asciiTheme="minorHAnsi" w:eastAsiaTheme="minorHAnsi" w:hAnsiTheme="minorHAnsi"/>
                <w:sz w:val="20"/>
              </w:rPr>
              <w:t>Wersja robocza:</w:t>
            </w:r>
          </w:p>
          <w:p w:rsidR="00FB70DB" w:rsidRPr="00AD78C4" w:rsidRDefault="00FB70DB" w:rsidP="0030111B">
            <w:pPr>
              <w:spacing w:after="200" w:line="240" w:lineRule="auto"/>
              <w:rPr>
                <w:rFonts w:asciiTheme="minorHAnsi" w:eastAsiaTheme="minorHAnsi" w:hAnsiTheme="minorHAnsi"/>
                <w:sz w:val="20"/>
              </w:rPr>
            </w:pPr>
            <w:r w:rsidRPr="00AD78C4">
              <w:rPr>
                <w:rFonts w:asciiTheme="minorHAnsi" w:eastAsiaTheme="minorHAnsi" w:hAnsiTheme="minorHAnsi"/>
                <w:sz w:val="20"/>
              </w:rPr>
              <w:t xml:space="preserve">Nowe miejsca pracy brutto we wspartych  przedsiębiorstwach wyrażone w ekwiwalencie pełnego czasu pracy (EPC). Wskaźnik ukazuje zmianę "przed-po" i obejmuje część wzrostu zatrudnienia w </w:t>
            </w:r>
            <w:r w:rsidRPr="00AD78C4">
              <w:rPr>
                <w:rFonts w:asciiTheme="minorHAnsi" w:eastAsiaTheme="minorHAnsi" w:hAnsiTheme="minorHAnsi"/>
                <w:sz w:val="20"/>
              </w:rPr>
              <w:lastRenderedPageBreak/>
              <w:t>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FB70DB" w:rsidRPr="00AD78C4" w:rsidRDefault="00FB70DB" w:rsidP="0030111B">
            <w:pPr>
              <w:spacing w:after="200" w:line="240" w:lineRule="auto"/>
              <w:rPr>
                <w:rFonts w:asciiTheme="minorHAnsi" w:eastAsiaTheme="minorHAnsi" w:hAnsiTheme="minorHAnsi"/>
                <w:sz w:val="20"/>
              </w:rPr>
            </w:pPr>
          </w:p>
          <w:p w:rsidR="00FB70DB" w:rsidRPr="00AD78C4" w:rsidRDefault="00FB70DB" w:rsidP="0030111B">
            <w:pPr>
              <w:spacing w:after="200" w:line="240" w:lineRule="auto"/>
              <w:rPr>
                <w:rFonts w:asciiTheme="minorHAnsi" w:eastAsiaTheme="minorHAnsi" w:hAnsiTheme="minorHAnsi"/>
                <w:sz w:val="20"/>
              </w:rPr>
            </w:pPr>
            <w:r w:rsidRPr="00AD78C4">
              <w:rPr>
                <w:rFonts w:asciiTheme="minorHAnsi" w:eastAsiaTheme="minorHAnsi" w:hAnsiTheme="minorHAnsi"/>
                <w:sz w:val="20"/>
              </w:rPr>
              <w:t>Wskaźnik liczy etaty utworzone w przedsiębiorstwach w wyniku realizacji projektu; dotyczy zatrudnionych na podstawie umowy o pracę (nie dotyczy umów cywilnoprawnych).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AD78C4" w:rsidRDefault="00AD78C4" w:rsidP="00755600">
            <w:pPr>
              <w:spacing w:before="0" w:after="200" w:line="276" w:lineRule="auto"/>
              <w:rPr>
                <w:rFonts w:asciiTheme="minorHAnsi" w:hAnsiTheme="minorHAnsi"/>
                <w:sz w:val="20"/>
              </w:rPr>
            </w:pPr>
            <w:r w:rsidRPr="00AD78C4">
              <w:rPr>
                <w:rFonts w:asciiTheme="minorHAnsi" w:hAnsiTheme="minorHAnsi"/>
                <w:sz w:val="20"/>
              </w:rPr>
              <w:lastRenderedPageBreak/>
              <w:t>horyzontalny</w:t>
            </w:r>
          </w:p>
        </w:tc>
      </w:tr>
      <w:tr w:rsidR="00FB70DB" w:rsidRPr="00AD78C4" w:rsidTr="0075560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AD78C4" w:rsidRDefault="00FB70DB" w:rsidP="00755600">
            <w:pPr>
              <w:spacing w:after="200" w:line="276" w:lineRule="auto"/>
              <w:rPr>
                <w:rFonts w:asciiTheme="minorHAnsi" w:hAnsiTheme="minorHAnsi"/>
                <w:sz w:val="20"/>
              </w:rPr>
            </w:pPr>
            <w:r w:rsidRPr="00AD78C4">
              <w:rPr>
                <w:rFonts w:asciiTheme="minorHAnsi" w:hAnsiTheme="minorHAnsi"/>
                <w:sz w:val="20"/>
              </w:rPr>
              <w:lastRenderedPageBreak/>
              <w:t>Wzrost zatrudnienia we wspieranych podmiotach (innych niż przedsiębiorstwa) 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AD78C4" w:rsidRDefault="00FB70DB" w:rsidP="00755600">
            <w:pPr>
              <w:spacing w:after="200" w:line="276" w:lineRule="auto"/>
              <w:rPr>
                <w:rFonts w:asciiTheme="minorHAnsi" w:hAnsiTheme="minorHAnsi"/>
                <w:sz w:val="20"/>
              </w:rPr>
            </w:pPr>
            <w:r w:rsidRPr="00AD78C4">
              <w:rPr>
                <w:rFonts w:asciiTheme="minorHAnsi" w:hAnsiTheme="minorHAnsi"/>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AD78C4" w:rsidRDefault="00FB70DB" w:rsidP="0030111B">
            <w:pPr>
              <w:spacing w:after="200" w:line="240" w:lineRule="auto"/>
              <w:rPr>
                <w:rFonts w:asciiTheme="minorHAnsi" w:hAnsiTheme="minorHAnsi"/>
                <w:sz w:val="20"/>
              </w:rPr>
            </w:pPr>
            <w:r w:rsidRPr="00AD78C4">
              <w:rPr>
                <w:rFonts w:asciiTheme="minorHAnsi" w:hAnsiTheme="minorHAnsi"/>
                <w:sz w:val="20"/>
              </w:rPr>
              <w:t>Definicja jak wyżej w odniesieniu do podmiotów innych niż przedsiębiorstwa</w:t>
            </w:r>
            <w:r w:rsidR="0030111B" w:rsidRPr="00AD78C4">
              <w:rPr>
                <w:rFonts w:asciiTheme="minorHAnsi" w:hAnsiTheme="minorHAnsi"/>
                <w:sz w:val="20"/>
              </w:rPr>
              <w:t>.</w:t>
            </w:r>
            <w:r w:rsidRPr="00AD78C4">
              <w:rPr>
                <w:rFonts w:asciiTheme="minorHAnsi" w:hAnsiTheme="minorHAnsi"/>
                <w:sz w:val="20"/>
              </w:rPr>
              <w:t xml:space="preserve"> </w:t>
            </w:r>
          </w:p>
          <w:p w:rsidR="00FB70DB" w:rsidRPr="00AD78C4" w:rsidRDefault="00FB70DB" w:rsidP="0030111B">
            <w:pPr>
              <w:spacing w:after="200" w:line="240" w:lineRule="auto"/>
              <w:rPr>
                <w:rFonts w:asciiTheme="minorHAnsi" w:eastAsiaTheme="minorHAnsi" w:hAnsiTheme="minorHAnsi"/>
                <w:sz w:val="20"/>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AD78C4" w:rsidRDefault="00FB70DB" w:rsidP="00755600">
            <w:pPr>
              <w:spacing w:before="0" w:after="200" w:line="276" w:lineRule="auto"/>
              <w:rPr>
                <w:rFonts w:asciiTheme="minorHAnsi" w:hAnsiTheme="minorHAnsi"/>
                <w:sz w:val="20"/>
              </w:rPr>
            </w:pPr>
            <w:r w:rsidRPr="00AD78C4">
              <w:rPr>
                <w:rFonts w:asciiTheme="minorHAnsi" w:hAnsiTheme="minorHAnsi"/>
                <w:sz w:val="20"/>
              </w:rPr>
              <w:t>SZOOP RPO WD  2014-2020</w:t>
            </w:r>
          </w:p>
        </w:tc>
      </w:tr>
      <w:tr w:rsidR="00FB70DB" w:rsidRPr="00AD78C4" w:rsidTr="0075560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AD78C4" w:rsidRDefault="00FB70DB" w:rsidP="00755600">
            <w:pPr>
              <w:spacing w:after="200" w:line="276" w:lineRule="auto"/>
            </w:pPr>
            <w:r w:rsidRPr="00AD78C4">
              <w:rPr>
                <w:rFonts w:asciiTheme="minorHAnsi" w:hAnsiTheme="minorHAnsi"/>
                <w:sz w:val="20"/>
              </w:rPr>
              <w:t xml:space="preserve">Liczba utrzymanych </w:t>
            </w:r>
            <w:r w:rsidRPr="00AD78C4">
              <w:rPr>
                <w:rFonts w:asciiTheme="minorHAnsi" w:hAnsiTheme="minorHAnsi"/>
                <w:sz w:val="20"/>
              </w:rPr>
              <w:lastRenderedPageBreak/>
              <w:t>miejsc pracy</w:t>
            </w:r>
            <w:r w:rsidR="00AD78C4" w:rsidRPr="00AD78C4">
              <w:rPr>
                <w:sz w:val="20"/>
              </w:rPr>
              <w:t xml:space="preserve">  O/K/M (wskaźnik ma charakter informacyjny)</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AD78C4" w:rsidRDefault="00FB70DB" w:rsidP="00755600">
            <w:pPr>
              <w:spacing w:after="200" w:line="276" w:lineRule="auto"/>
              <w:rPr>
                <w:rFonts w:asciiTheme="minorHAnsi" w:hAnsiTheme="minorHAnsi"/>
                <w:sz w:val="20"/>
              </w:rPr>
            </w:pPr>
            <w:r w:rsidRPr="00AD78C4">
              <w:rPr>
                <w:rFonts w:asciiTheme="minorHAnsi" w:hAnsiTheme="minorHAnsi"/>
                <w:sz w:val="20"/>
              </w:rPr>
              <w:lastRenderedPageBreak/>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AD78C4" w:rsidRDefault="00FB70DB" w:rsidP="0030111B">
            <w:pPr>
              <w:spacing w:after="200" w:line="240" w:lineRule="auto"/>
              <w:rPr>
                <w:rFonts w:asciiTheme="minorHAnsi" w:eastAsiaTheme="minorHAnsi" w:hAnsiTheme="minorHAnsi"/>
                <w:sz w:val="20"/>
              </w:rPr>
            </w:pPr>
            <w:r w:rsidRPr="00AD78C4">
              <w:rPr>
                <w:rFonts w:asciiTheme="minorHAnsi" w:eastAsiaTheme="minorHAnsi" w:hAnsiTheme="minorHAnsi"/>
                <w:sz w:val="20"/>
              </w:rPr>
              <w:t>Miejsca pracy utworzone w wyniku realizacji projektu, lecz nie powodują wzrostu</w:t>
            </w:r>
            <w:r w:rsidR="0030111B" w:rsidRPr="00AD78C4">
              <w:rPr>
                <w:rFonts w:asciiTheme="minorHAnsi" w:eastAsiaTheme="minorHAnsi" w:hAnsiTheme="minorHAnsi"/>
                <w:sz w:val="20"/>
              </w:rPr>
              <w:t>.</w:t>
            </w:r>
            <w:r w:rsidRPr="00AD78C4">
              <w:rPr>
                <w:rFonts w:asciiTheme="minorHAnsi" w:eastAsiaTheme="minorHAnsi" w:hAnsiTheme="minorHAnsi"/>
                <w:sz w:val="20"/>
              </w:rPr>
              <w:t xml:space="preserve"> </w:t>
            </w:r>
            <w:r w:rsidRPr="00AD78C4">
              <w:rPr>
                <w:rFonts w:asciiTheme="minorHAnsi" w:eastAsiaTheme="minorHAnsi" w:hAnsiTheme="minorHAnsi"/>
                <w:sz w:val="20"/>
              </w:rPr>
              <w:lastRenderedPageBreak/>
              <w:t>zatrudnienia w organizacji</w:t>
            </w:r>
            <w:r w:rsidR="0030111B" w:rsidRPr="00AD78C4">
              <w:rPr>
                <w:rFonts w:asciiTheme="minorHAnsi" w:eastAsiaTheme="minorHAnsi" w:hAnsiTheme="minorHAnsi"/>
                <w:sz w:val="20"/>
              </w:rPr>
              <w:t>.</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AD78C4" w:rsidRDefault="00FB70DB" w:rsidP="00755600">
            <w:pPr>
              <w:spacing w:before="0" w:after="200" w:line="276" w:lineRule="auto"/>
              <w:rPr>
                <w:rFonts w:asciiTheme="minorHAnsi" w:hAnsiTheme="minorHAnsi"/>
                <w:sz w:val="20"/>
              </w:rPr>
            </w:pPr>
            <w:r w:rsidRPr="00AD78C4">
              <w:rPr>
                <w:rFonts w:asciiTheme="minorHAnsi" w:hAnsiTheme="minorHAnsi"/>
                <w:sz w:val="20"/>
              </w:rPr>
              <w:lastRenderedPageBreak/>
              <w:t>horyzontalny</w:t>
            </w:r>
          </w:p>
        </w:tc>
      </w:tr>
      <w:tr w:rsidR="00FB70DB" w:rsidRPr="00AD78C4" w:rsidTr="00755600">
        <w:trPr>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FB70DB" w:rsidRPr="00AD78C4" w:rsidRDefault="00FB70DB" w:rsidP="00755600">
            <w:pPr>
              <w:spacing w:after="200" w:line="276" w:lineRule="auto"/>
              <w:rPr>
                <w:rFonts w:asciiTheme="minorHAnsi" w:hAnsiTheme="minorHAnsi"/>
                <w:sz w:val="20"/>
              </w:rPr>
            </w:pPr>
            <w:r w:rsidRPr="00AD78C4">
              <w:rPr>
                <w:rFonts w:asciiTheme="minorHAnsi" w:hAnsiTheme="minorHAnsi"/>
                <w:sz w:val="20"/>
              </w:rPr>
              <w:lastRenderedPageBreak/>
              <w:t>Liczba nowo utworzonych miejsc pracy - pozostałe formy</w:t>
            </w:r>
            <w:r w:rsidR="00AD78C4" w:rsidRPr="00AD78C4">
              <w:rPr>
                <w:rFonts w:asciiTheme="minorHAnsi" w:hAnsiTheme="minorHAnsi"/>
                <w:sz w:val="20"/>
              </w:rPr>
              <w:t xml:space="preserve"> </w:t>
            </w:r>
            <w:r w:rsidR="00AD78C4" w:rsidRPr="00AD78C4">
              <w:rPr>
                <w:sz w:val="20"/>
              </w:rPr>
              <w:t>O/K/M</w:t>
            </w:r>
            <w:r w:rsidRPr="00AD78C4">
              <w:rPr>
                <w:rFonts w:asciiTheme="minorHAnsi" w:hAnsiTheme="minorHAnsi"/>
                <w:sz w:val="20"/>
              </w:rPr>
              <w:t xml:space="preserve"> </w:t>
            </w:r>
          </w:p>
        </w:tc>
        <w:tc>
          <w:tcPr>
            <w:tcW w:w="701"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FB70DB" w:rsidRPr="00AD78C4" w:rsidRDefault="00FB70DB" w:rsidP="00755600">
            <w:pPr>
              <w:spacing w:after="200" w:line="276" w:lineRule="auto"/>
              <w:rPr>
                <w:rFonts w:asciiTheme="minorHAnsi" w:hAnsiTheme="minorHAnsi"/>
                <w:sz w:val="20"/>
              </w:rPr>
            </w:pPr>
            <w:r w:rsidRPr="00AD78C4">
              <w:rPr>
                <w:rFonts w:asciiTheme="minorHAnsi" w:hAnsiTheme="minorHAnsi"/>
                <w:sz w:val="20"/>
              </w:rPr>
              <w:t>EPC</w:t>
            </w:r>
          </w:p>
        </w:tc>
        <w:tc>
          <w:tcPr>
            <w:tcW w:w="2061"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FB70DB" w:rsidRPr="00AD78C4" w:rsidRDefault="00FB70DB" w:rsidP="0030111B">
            <w:pPr>
              <w:spacing w:after="200" w:line="240" w:lineRule="auto"/>
              <w:rPr>
                <w:rFonts w:asciiTheme="minorHAnsi" w:eastAsiaTheme="minorHAnsi" w:hAnsiTheme="minorHAnsi"/>
                <w:sz w:val="20"/>
              </w:rPr>
            </w:pPr>
            <w:r w:rsidRPr="00AD78C4">
              <w:rPr>
                <w:rFonts w:asciiTheme="minorHAnsi" w:eastAsiaTheme="minorHAnsi" w:hAnsiTheme="minorHAnsi"/>
                <w:iCs/>
                <w:sz w:val="20"/>
              </w:rPr>
              <w:t>Pozostałe formy</w:t>
            </w:r>
            <w:r w:rsidRPr="00AD78C4">
              <w:rPr>
                <w:rFonts w:asciiTheme="minorHAnsi" w:eastAsiaTheme="minorHAnsi" w:hAnsiTheme="minorHAnsi"/>
                <w:sz w:val="20"/>
              </w:rPr>
              <w:t>, np. umowy cywilnoprawne, miejsca pracy do obsługi pr</w:t>
            </w:r>
            <w:r w:rsidR="0030111B" w:rsidRPr="00AD78C4">
              <w:rPr>
                <w:rFonts w:asciiTheme="minorHAnsi" w:eastAsiaTheme="minorHAnsi" w:hAnsiTheme="minorHAnsi"/>
                <w:sz w:val="20"/>
              </w:rPr>
              <w:t>ojektu, nietrwałe miejsca pracy.</w:t>
            </w: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FB70DB" w:rsidRPr="00AD78C4" w:rsidRDefault="00FB70DB" w:rsidP="00755600">
            <w:pPr>
              <w:spacing w:before="0" w:after="200" w:line="276" w:lineRule="auto"/>
              <w:rPr>
                <w:rFonts w:asciiTheme="minorHAnsi" w:hAnsiTheme="minorHAnsi"/>
                <w:sz w:val="20"/>
              </w:rPr>
            </w:pPr>
            <w:r w:rsidRPr="00AD78C4">
              <w:rPr>
                <w:rFonts w:asciiTheme="minorHAnsi" w:hAnsiTheme="minorHAnsi"/>
                <w:sz w:val="20"/>
              </w:rPr>
              <w:t>horyzontalny</w:t>
            </w:r>
          </w:p>
        </w:tc>
      </w:tr>
      <w:tr w:rsidR="00FB70DB" w:rsidRPr="00AD78C4" w:rsidTr="00FB70DB">
        <w:trPr>
          <w:trHeight w:val="19"/>
          <w:jc w:val="center"/>
        </w:trPr>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rsidR="00FB70DB" w:rsidRPr="00AD78C4" w:rsidRDefault="00FB70DB" w:rsidP="00FB70DB">
            <w:pPr>
              <w:spacing w:before="60" w:after="60" w:line="240" w:lineRule="auto"/>
              <w:rPr>
                <w:rFonts w:asciiTheme="minorHAnsi" w:hAnsiTheme="minorHAnsi"/>
                <w:sz w:val="20"/>
              </w:rPr>
            </w:pPr>
            <w:r w:rsidRPr="00AD78C4">
              <w:rPr>
                <w:rFonts w:asciiTheme="minorHAnsi" w:hAnsiTheme="minorHAnsi" w:cs="Arial"/>
                <w:sz w:val="20"/>
              </w:rPr>
              <w:t>Liczba podmiotów wykorzystujących technologie informacyjno-komunikacyjne (TIK)</w:t>
            </w:r>
            <w:bookmarkStart w:id="3" w:name="_GoBack"/>
            <w:bookmarkEnd w:id="3"/>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B70DB" w:rsidRPr="00AD78C4" w:rsidRDefault="00FB70DB" w:rsidP="00CF7E99">
            <w:pPr>
              <w:spacing w:before="60" w:after="60" w:line="240" w:lineRule="auto"/>
              <w:rPr>
                <w:rFonts w:asciiTheme="minorHAnsi" w:hAnsiTheme="minorHAnsi"/>
                <w:sz w:val="20"/>
              </w:rPr>
            </w:pPr>
            <w:r w:rsidRPr="00AD78C4">
              <w:rPr>
                <w:rFonts w:asciiTheme="minorHAnsi" w:hAnsiTheme="minorHAnsi"/>
                <w:sz w:val="20"/>
              </w:rPr>
              <w:t>szt.</w:t>
            </w:r>
          </w:p>
        </w:tc>
        <w:tc>
          <w:tcPr>
            <w:tcW w:w="2061" w:type="pct"/>
            <w:tcBorders>
              <w:top w:val="single" w:sz="4" w:space="0" w:color="auto"/>
              <w:left w:val="single" w:sz="4" w:space="0" w:color="auto"/>
              <w:bottom w:val="single" w:sz="4" w:space="0" w:color="auto"/>
              <w:right w:val="single" w:sz="4" w:space="0" w:color="auto"/>
            </w:tcBorders>
            <w:shd w:val="clear" w:color="auto" w:fill="auto"/>
          </w:tcPr>
          <w:p w:rsidR="0030111B" w:rsidRPr="00AD78C4" w:rsidRDefault="0030111B" w:rsidP="0030111B">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 xml:space="preserve">Wskaźnik mierzy liczbę podmiotów, które </w:t>
            </w:r>
            <w:r w:rsidRPr="00AD78C4">
              <w:rPr>
                <w:rFonts w:asciiTheme="minorHAnsi" w:eastAsiaTheme="minorHAnsi" w:hAnsiTheme="minorHAnsi"/>
                <w:sz w:val="20"/>
                <w:lang w:eastAsia="en-US"/>
              </w:rPr>
              <w:br/>
              <w:t xml:space="preserve">w celu realizacji projektu zainwestowały </w:t>
            </w:r>
            <w:r w:rsidRPr="00AD78C4">
              <w:rPr>
                <w:rFonts w:asciiTheme="minorHAnsi" w:eastAsiaTheme="minorHAnsi" w:hAnsiTheme="minorHAnsi"/>
                <w:sz w:val="20"/>
                <w:lang w:eastAsia="en-US"/>
              </w:rPr>
              <w:br/>
              <w:t>w technologie informacyjno-komunikacyjne, a w przypadku projektów edukacyjno-szkoleniowych, również podmiotów, które podjęły działania upowszechniające wykorzystanie TIK.</w:t>
            </w:r>
          </w:p>
          <w:p w:rsidR="0030111B" w:rsidRPr="00AD78C4" w:rsidRDefault="0030111B" w:rsidP="0030111B">
            <w:pPr>
              <w:spacing w:before="0" w:line="240" w:lineRule="auto"/>
              <w:rPr>
                <w:rFonts w:asciiTheme="minorHAnsi" w:eastAsiaTheme="minorHAnsi" w:hAnsiTheme="minorHAnsi"/>
                <w:sz w:val="20"/>
                <w:lang w:eastAsia="en-US"/>
              </w:rPr>
            </w:pPr>
          </w:p>
          <w:p w:rsidR="0030111B" w:rsidRPr="00AD78C4" w:rsidRDefault="0030111B" w:rsidP="0030111B">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 xml:space="preserve">Przez technologie informacyjno-komunikacyjne (ang. ICT – Information and Communications Technology) należy rozumieć technologie pozyskiwania produkcji, gromadzenia, przechowywania, przesyłania, przetwarzania </w:t>
            </w:r>
            <w:r w:rsidRPr="00AD78C4">
              <w:rPr>
                <w:rFonts w:asciiTheme="minorHAnsi" w:eastAsiaTheme="minorHAnsi" w:hAnsiTheme="minorHAnsi"/>
                <w:sz w:val="20"/>
                <w:lang w:eastAsia="en-US"/>
              </w:rPr>
              <w:br/>
              <w:t>i rozpowszechniania informacji w formie elektronicznej oraz wszelkie działania zawiązane z produkcją i wykorzystaniem urządzeń telekomunikacyjnych i informatycznych oraz usług im towarzyszących działania edukacyjne i szkoleniowe.</w:t>
            </w:r>
          </w:p>
          <w:p w:rsidR="0030111B" w:rsidRPr="00AD78C4" w:rsidRDefault="0030111B" w:rsidP="0030111B">
            <w:pPr>
              <w:spacing w:before="0" w:line="240" w:lineRule="auto"/>
              <w:rPr>
                <w:rFonts w:asciiTheme="minorHAnsi" w:eastAsiaTheme="minorHAnsi" w:hAnsiTheme="minorHAnsi"/>
                <w:sz w:val="20"/>
                <w:lang w:eastAsia="en-US"/>
              </w:rPr>
            </w:pPr>
          </w:p>
          <w:p w:rsidR="0030111B" w:rsidRPr="00AD78C4" w:rsidRDefault="0030111B" w:rsidP="0030111B">
            <w:pPr>
              <w:spacing w:before="0" w:line="240" w:lineRule="auto"/>
              <w:rPr>
                <w:rFonts w:asciiTheme="minorHAnsi" w:eastAsiaTheme="minorHAnsi" w:hAnsiTheme="minorHAnsi"/>
                <w:sz w:val="20"/>
                <w:lang w:eastAsia="en-US"/>
              </w:rPr>
            </w:pPr>
            <w:r w:rsidRPr="00AD78C4">
              <w:rPr>
                <w:rFonts w:asciiTheme="minorHAnsi" w:eastAsiaTheme="minorHAnsi" w:hAnsiTheme="minorHAnsi"/>
                <w:sz w:val="20"/>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30111B" w:rsidRPr="00AD78C4" w:rsidRDefault="0030111B" w:rsidP="0030111B">
            <w:pPr>
              <w:spacing w:before="0" w:line="240" w:lineRule="auto"/>
              <w:rPr>
                <w:rFonts w:asciiTheme="minorHAnsi" w:eastAsiaTheme="minorHAnsi" w:hAnsiTheme="minorHAnsi"/>
                <w:sz w:val="20"/>
                <w:lang w:eastAsia="en-US"/>
              </w:rPr>
            </w:pPr>
          </w:p>
          <w:p w:rsidR="00FB70DB" w:rsidRPr="00AD78C4" w:rsidRDefault="0030111B" w:rsidP="0030111B">
            <w:pPr>
              <w:spacing w:line="240" w:lineRule="auto"/>
              <w:rPr>
                <w:rFonts w:asciiTheme="minorHAnsi" w:hAnsiTheme="minorHAnsi" w:cs="Arial"/>
                <w:sz w:val="20"/>
              </w:rPr>
            </w:pPr>
            <w:r w:rsidRPr="00AD78C4">
              <w:rPr>
                <w:rFonts w:asciiTheme="minorHAnsi" w:eastAsiaTheme="minorHAnsi" w:hAnsiTheme="minorHAnsi"/>
                <w:sz w:val="20"/>
                <w:lang w:eastAsia="en-US"/>
              </w:rPr>
              <w:t xml:space="preserve">W przypadku, gdy beneficjentem pozostaje jeden podmiot , we wskaźniku należy ująć wartość „1”. W przypadku, gdy projekt jest realizowany przez partnerstwo podmiotów, w wartości wskaźnika należy ująć każdy z podmiotów wchodzących w skład </w:t>
            </w:r>
            <w:r w:rsidRPr="00AD78C4">
              <w:rPr>
                <w:rFonts w:asciiTheme="minorHAnsi" w:eastAsiaTheme="minorHAnsi" w:hAnsiTheme="minorHAnsi"/>
                <w:sz w:val="20"/>
                <w:lang w:eastAsia="en-US"/>
              </w:rPr>
              <w:lastRenderedPageBreak/>
              <w:t>partnerstwa, który wdrożył w swojej działalności narzędzia TIK.</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B70DB" w:rsidRPr="00AD78C4" w:rsidRDefault="00FB70DB" w:rsidP="0030111B">
            <w:pPr>
              <w:rPr>
                <w:rFonts w:asciiTheme="minorHAnsi" w:hAnsiTheme="minorHAnsi" w:cs="Arial"/>
                <w:sz w:val="20"/>
              </w:rPr>
            </w:pPr>
            <w:r w:rsidRPr="00AD78C4">
              <w:rPr>
                <w:rFonts w:asciiTheme="minorHAnsi" w:hAnsiTheme="minorHAnsi" w:cs="Arial"/>
                <w:sz w:val="20"/>
              </w:rPr>
              <w:lastRenderedPageBreak/>
              <w:t>horyzontalny</w:t>
            </w:r>
          </w:p>
        </w:tc>
      </w:tr>
    </w:tbl>
    <w:p w:rsidR="0030111B" w:rsidRPr="00AD78C4" w:rsidRDefault="0030111B" w:rsidP="0030111B">
      <w:pPr>
        <w:spacing w:before="0" w:after="200" w:line="276" w:lineRule="auto"/>
        <w:rPr>
          <w:rFonts w:asciiTheme="minorHAnsi" w:hAnsiTheme="minorHAnsi"/>
          <w:szCs w:val="22"/>
        </w:rPr>
      </w:pPr>
    </w:p>
    <w:p w:rsidR="00B20FB5" w:rsidRPr="00AD78C4" w:rsidRDefault="00B20FB5" w:rsidP="00661C0F">
      <w:pPr>
        <w:spacing w:before="0" w:after="200" w:line="276" w:lineRule="auto"/>
        <w:jc w:val="both"/>
        <w:rPr>
          <w:rFonts w:asciiTheme="minorHAnsi" w:hAnsiTheme="minorHAnsi"/>
          <w:szCs w:val="22"/>
        </w:rPr>
      </w:pPr>
      <w:r w:rsidRPr="00AD78C4">
        <w:rPr>
          <w:rFonts w:ascii="Calibri" w:eastAsia="Calibri" w:hAnsi="Calibri" w:cs="Arial"/>
        </w:rPr>
        <w:t xml:space="preserve">W ramach wniosku o dofinansowanie Wnioskodawca ma obowiązek uwzględnić </w:t>
      </w:r>
      <w:r w:rsidRPr="00AD78C4">
        <w:rPr>
          <w:rFonts w:ascii="Calibri" w:eastAsia="Calibri" w:hAnsi="Calibri" w:cs="Arial"/>
          <w:b/>
        </w:rPr>
        <w:t>wszystkie adekwatne</w:t>
      </w:r>
      <w:r w:rsidRPr="00AD78C4">
        <w:rPr>
          <w:rFonts w:ascii="Calibri" w:eastAsia="Calibri" w:hAnsi="Calibri" w:cs="Arial"/>
        </w:rPr>
        <w:t xml:space="preserve"> wskaźniki produktu oraz rezultatu bezpośredniego z listy przedstawionej  w powyższych tabelach, odpowiadające celowi projektu. </w:t>
      </w:r>
      <w:r w:rsidRPr="00AD78C4">
        <w:rPr>
          <w:rFonts w:ascii="Calibri" w:hAnsi="Calibri"/>
        </w:rPr>
        <w:t xml:space="preserve">Dodatkowo w ramach wniosku o dofinansowanie Wnioskodawca może określić inne, dodatkowe wskaźniki specyficzne dla danego projektu, o ile będzie to niezbędne dla prawidłowej realizacji projektu (tzw. wskaźniki projektowe). </w:t>
      </w:r>
    </w:p>
    <w:p w:rsidR="00B20FB5" w:rsidRPr="00AD78C4" w:rsidRDefault="00B20FB5" w:rsidP="00661C0F">
      <w:pPr>
        <w:autoSpaceDE w:val="0"/>
        <w:autoSpaceDN w:val="0"/>
        <w:adjustRightInd w:val="0"/>
        <w:spacing w:line="240" w:lineRule="auto"/>
        <w:jc w:val="both"/>
        <w:rPr>
          <w:rFonts w:ascii="Calibri" w:eastAsia="Calibri" w:hAnsi="Calibri"/>
        </w:rPr>
      </w:pPr>
      <w:r w:rsidRPr="00AD78C4">
        <w:rPr>
          <w:rFonts w:ascii="Calibri" w:eastAsia="Calibri" w:hAnsi="Calibri"/>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AD78C4" w:rsidRPr="00AD78C4" w:rsidRDefault="00AD78C4" w:rsidP="00AD78C4">
      <w:pPr>
        <w:spacing w:line="240" w:lineRule="auto"/>
        <w:jc w:val="both"/>
        <w:rPr>
          <w:rFonts w:asciiTheme="minorHAnsi" w:hAnsiTheme="minorHAnsi" w:cs="Arial"/>
          <w:b/>
          <w:szCs w:val="22"/>
          <w:u w:val="single"/>
        </w:rPr>
      </w:pPr>
      <w:r w:rsidRPr="00AD78C4">
        <w:rPr>
          <w:rFonts w:asciiTheme="minorHAnsi" w:hAnsiTheme="minorHAnsi" w:cs="Arial"/>
          <w:b/>
          <w:szCs w:val="22"/>
          <w:u w:val="single"/>
        </w:rPr>
        <w:t>Wartość bazowa (tzn. wartość w momencie rozpoczęcia realizacji projektu) w przypadku każdego wskaźnika powinna być wykazana na poziomie „0”.</w:t>
      </w:r>
    </w:p>
    <w:p w:rsidR="00AD78C4" w:rsidRPr="00AD78C4" w:rsidRDefault="00AD78C4" w:rsidP="00AD78C4">
      <w:pPr>
        <w:spacing w:line="240" w:lineRule="auto"/>
        <w:jc w:val="both"/>
        <w:rPr>
          <w:rFonts w:asciiTheme="minorHAnsi" w:hAnsiTheme="minorHAnsi" w:cs="Arial"/>
          <w:b/>
          <w:szCs w:val="22"/>
          <w:u w:val="single"/>
        </w:rPr>
      </w:pPr>
      <w:r w:rsidRPr="00AD78C4">
        <w:rPr>
          <w:rFonts w:asciiTheme="minorHAnsi" w:hAnsiTheme="minorHAnsi" w:cs="Arial"/>
          <w:b/>
          <w:szCs w:val="22"/>
          <w:u w:val="single"/>
        </w:rPr>
        <w:t xml:space="preserve">Efekt wsparcia na poziomie projektu występuje: </w:t>
      </w:r>
    </w:p>
    <w:p w:rsidR="00AD78C4" w:rsidRPr="00AD78C4" w:rsidRDefault="00AD78C4" w:rsidP="00AD78C4">
      <w:pPr>
        <w:spacing w:line="240" w:lineRule="auto"/>
        <w:jc w:val="both"/>
        <w:rPr>
          <w:rFonts w:asciiTheme="minorHAnsi" w:hAnsiTheme="minorHAnsi" w:cs="Arial"/>
          <w:b/>
          <w:szCs w:val="22"/>
          <w:u w:val="single"/>
        </w:rPr>
      </w:pPr>
      <w:r w:rsidRPr="00AD78C4">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oraz utrzymanie w okresie trwałości projektu, </w:t>
      </w:r>
    </w:p>
    <w:p w:rsidR="00AD78C4" w:rsidRPr="00AD78C4" w:rsidRDefault="00AD78C4" w:rsidP="00AD78C4">
      <w:pPr>
        <w:spacing w:line="240" w:lineRule="auto"/>
        <w:jc w:val="both"/>
        <w:rPr>
          <w:rFonts w:asciiTheme="minorHAnsi" w:hAnsiTheme="minorHAnsi" w:cs="Arial"/>
          <w:b/>
          <w:szCs w:val="22"/>
          <w:u w:val="single"/>
        </w:rPr>
      </w:pPr>
      <w:r w:rsidRPr="00AD78C4">
        <w:rPr>
          <w:rFonts w:asciiTheme="minorHAnsi" w:hAnsiTheme="minorHAnsi" w:cs="Arial"/>
          <w:b/>
          <w:szCs w:val="22"/>
          <w:u w:val="single"/>
        </w:rPr>
        <w:t xml:space="preserve">b) w przypadku wskaźników rezultatu określonych na poziomie projektu: </w:t>
      </w:r>
    </w:p>
    <w:p w:rsidR="00AD78C4" w:rsidRPr="00AD78C4" w:rsidRDefault="00AD78C4" w:rsidP="00AD78C4">
      <w:pPr>
        <w:pStyle w:val="ListParagraph"/>
        <w:numPr>
          <w:ilvl w:val="0"/>
          <w:numId w:val="6"/>
        </w:numPr>
        <w:spacing w:before="0" w:after="200" w:line="240" w:lineRule="auto"/>
        <w:ind w:left="1080"/>
        <w:contextualSpacing/>
        <w:jc w:val="both"/>
        <w:rPr>
          <w:rFonts w:asciiTheme="minorHAnsi" w:hAnsiTheme="minorHAnsi" w:cs="Arial"/>
          <w:b/>
          <w:szCs w:val="22"/>
          <w:u w:val="single"/>
        </w:rPr>
      </w:pPr>
      <w:r w:rsidRPr="00AD78C4">
        <w:rPr>
          <w:rFonts w:asciiTheme="minorHAnsi" w:hAnsiTheme="minorHAnsi" w:cs="Arial"/>
          <w:b/>
          <w:szCs w:val="22"/>
          <w:u w:val="single"/>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lub jego korekcie. Wskaźniki rezultatu powinny być utrzymane w okresie trwałości projektu. </w:t>
      </w:r>
    </w:p>
    <w:p w:rsidR="00AD78C4" w:rsidRPr="00AD78C4" w:rsidRDefault="00AD78C4" w:rsidP="00AD78C4">
      <w:pPr>
        <w:pStyle w:val="ListParagraph"/>
        <w:spacing w:before="0" w:after="200" w:line="240" w:lineRule="auto"/>
        <w:ind w:left="1080"/>
        <w:contextualSpacing/>
        <w:jc w:val="both"/>
        <w:rPr>
          <w:rFonts w:asciiTheme="minorHAnsi" w:hAnsiTheme="minorHAnsi" w:cs="Arial"/>
          <w:b/>
          <w:szCs w:val="22"/>
          <w:u w:val="single"/>
        </w:rPr>
      </w:pPr>
      <w:r w:rsidRPr="00AD78C4">
        <w:rPr>
          <w:rFonts w:asciiTheme="minorHAnsi" w:hAnsiTheme="minorHAnsi" w:cs="Arial"/>
          <w:b/>
          <w:szCs w:val="22"/>
          <w:u w:val="single"/>
        </w:rPr>
        <w:t>lub</w:t>
      </w:r>
    </w:p>
    <w:p w:rsidR="00AD78C4" w:rsidRPr="00AD78C4" w:rsidRDefault="00AD78C4" w:rsidP="00AD78C4">
      <w:pPr>
        <w:pStyle w:val="ListParagraph"/>
        <w:numPr>
          <w:ilvl w:val="0"/>
          <w:numId w:val="6"/>
        </w:numPr>
        <w:spacing w:before="0" w:after="200" w:line="240" w:lineRule="auto"/>
        <w:ind w:left="1080"/>
        <w:contextualSpacing/>
        <w:jc w:val="both"/>
        <w:rPr>
          <w:rFonts w:asciiTheme="minorHAnsi" w:hAnsiTheme="minorHAnsi" w:cs="Arial"/>
          <w:b/>
          <w:szCs w:val="22"/>
          <w:u w:val="single"/>
        </w:rPr>
      </w:pPr>
      <w:r w:rsidRPr="00AD78C4">
        <w:rPr>
          <w:rFonts w:asciiTheme="minorHAnsi" w:hAnsiTheme="minorHAnsi" w:cs="Arial"/>
          <w:b/>
          <w:szCs w:val="22"/>
          <w:u w:val="single"/>
        </w:rPr>
        <w:t xml:space="preserve">W okresie trwałości projektu, na zasadach określonych przez IŻ (w umowie o dofinansowanie projektu) – w przypadku wskaźników, których termin realizacji został wydłużony na wniosek beneficjenta i za zgodą IŻ, jednak nie później niż do dnia 31.12.2013 r. </w:t>
      </w:r>
    </w:p>
    <w:p w:rsidR="0032765F" w:rsidRPr="00C55C4D" w:rsidRDefault="0032765F" w:rsidP="00661C0F">
      <w:pPr>
        <w:pStyle w:val="Default"/>
        <w:jc w:val="both"/>
        <w:rPr>
          <w:szCs w:val="22"/>
        </w:rPr>
      </w:pPr>
    </w:p>
    <w:sectPr w:rsidR="0032765F" w:rsidRPr="00C55C4D" w:rsidSect="009C633C">
      <w:headerReference w:type="default" r:id="rId8"/>
      <w:footerReference w:type="default" r:id="rId9"/>
      <w:pgSz w:w="11906" w:h="16838"/>
      <w:pgMar w:top="1417" w:right="1417" w:bottom="3119" w:left="1417" w:header="708" w:footer="3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397" w:rsidRDefault="00341397" w:rsidP="008C495E">
      <w:pPr>
        <w:spacing w:before="0" w:line="240" w:lineRule="auto"/>
      </w:pPr>
      <w:r>
        <w:separator/>
      </w:r>
    </w:p>
  </w:endnote>
  <w:endnote w:type="continuationSeparator" w:id="0">
    <w:p w:rsidR="00341397" w:rsidRDefault="00341397" w:rsidP="008C495E">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rPr>
      <w:id w:val="9763378"/>
      <w:docPartObj>
        <w:docPartGallery w:val="Page Numbers (Bottom of Page)"/>
        <w:docPartUnique/>
      </w:docPartObj>
    </w:sdtPr>
    <w:sdtContent>
      <w:sdt>
        <w:sdtPr>
          <w:rPr>
            <w:rFonts w:asciiTheme="minorHAnsi" w:hAnsiTheme="minorHAnsi"/>
            <w:sz w:val="20"/>
          </w:rPr>
          <w:id w:val="9763379"/>
          <w:docPartObj>
            <w:docPartGallery w:val="Page Numbers (Top of Page)"/>
            <w:docPartUnique/>
          </w:docPartObj>
        </w:sdtPr>
        <w:sdtContent>
          <w:p w:rsidR="00EF7E44" w:rsidRPr="00D721EE" w:rsidRDefault="00EF7E44">
            <w:pPr>
              <w:pStyle w:val="Footer"/>
              <w:jc w:val="center"/>
              <w:rPr>
                <w:rFonts w:asciiTheme="minorHAnsi" w:hAnsiTheme="minorHAnsi"/>
                <w:sz w:val="20"/>
              </w:rPr>
            </w:pPr>
            <w:r w:rsidRPr="00D721EE">
              <w:rPr>
                <w:rFonts w:asciiTheme="minorHAnsi" w:hAnsiTheme="minorHAnsi"/>
                <w:sz w:val="20"/>
              </w:rPr>
              <w:t xml:space="preserve">Strona </w:t>
            </w:r>
            <w:r w:rsidR="008E6E33" w:rsidRPr="00D721EE">
              <w:rPr>
                <w:rFonts w:asciiTheme="minorHAnsi" w:hAnsiTheme="minorHAnsi"/>
                <w:b/>
                <w:bCs/>
                <w:sz w:val="20"/>
              </w:rPr>
              <w:fldChar w:fldCharType="begin"/>
            </w:r>
            <w:r w:rsidRPr="00D721EE">
              <w:rPr>
                <w:rFonts w:asciiTheme="minorHAnsi" w:hAnsiTheme="minorHAnsi"/>
                <w:b/>
                <w:bCs/>
                <w:sz w:val="20"/>
              </w:rPr>
              <w:instrText>PAGE</w:instrText>
            </w:r>
            <w:r w:rsidR="008E6E33" w:rsidRPr="00D721EE">
              <w:rPr>
                <w:rFonts w:asciiTheme="minorHAnsi" w:hAnsiTheme="minorHAnsi"/>
                <w:b/>
                <w:bCs/>
                <w:sz w:val="20"/>
              </w:rPr>
              <w:fldChar w:fldCharType="separate"/>
            </w:r>
            <w:r w:rsidR="00395D16">
              <w:rPr>
                <w:rFonts w:asciiTheme="minorHAnsi" w:hAnsiTheme="minorHAnsi"/>
                <w:b/>
                <w:bCs/>
                <w:noProof/>
                <w:sz w:val="20"/>
              </w:rPr>
              <w:t>8</w:t>
            </w:r>
            <w:r w:rsidR="008E6E33" w:rsidRPr="00D721EE">
              <w:rPr>
                <w:rFonts w:asciiTheme="minorHAnsi" w:hAnsiTheme="minorHAnsi"/>
                <w:b/>
                <w:bCs/>
                <w:sz w:val="20"/>
              </w:rPr>
              <w:fldChar w:fldCharType="end"/>
            </w:r>
            <w:r w:rsidRPr="00D721EE">
              <w:rPr>
                <w:rFonts w:asciiTheme="minorHAnsi" w:hAnsiTheme="minorHAnsi"/>
                <w:sz w:val="20"/>
              </w:rPr>
              <w:t xml:space="preserve"> z </w:t>
            </w:r>
            <w:r w:rsidR="008E6E33" w:rsidRPr="00D721EE">
              <w:rPr>
                <w:rFonts w:asciiTheme="minorHAnsi" w:hAnsiTheme="minorHAnsi"/>
                <w:b/>
                <w:bCs/>
                <w:sz w:val="20"/>
              </w:rPr>
              <w:fldChar w:fldCharType="begin"/>
            </w:r>
            <w:r w:rsidRPr="00D721EE">
              <w:rPr>
                <w:rFonts w:asciiTheme="minorHAnsi" w:hAnsiTheme="minorHAnsi"/>
                <w:b/>
                <w:bCs/>
                <w:sz w:val="20"/>
              </w:rPr>
              <w:instrText>NUMPAGES</w:instrText>
            </w:r>
            <w:r w:rsidR="008E6E33" w:rsidRPr="00D721EE">
              <w:rPr>
                <w:rFonts w:asciiTheme="minorHAnsi" w:hAnsiTheme="minorHAnsi"/>
                <w:b/>
                <w:bCs/>
                <w:sz w:val="20"/>
              </w:rPr>
              <w:fldChar w:fldCharType="separate"/>
            </w:r>
            <w:r w:rsidR="00395D16">
              <w:rPr>
                <w:rFonts w:asciiTheme="minorHAnsi" w:hAnsiTheme="minorHAnsi"/>
                <w:b/>
                <w:bCs/>
                <w:noProof/>
                <w:sz w:val="20"/>
              </w:rPr>
              <w:t>8</w:t>
            </w:r>
            <w:r w:rsidR="008E6E33" w:rsidRPr="00D721EE">
              <w:rPr>
                <w:rFonts w:asciiTheme="minorHAnsi" w:hAnsiTheme="minorHAnsi"/>
                <w:b/>
                <w:bCs/>
                <w:sz w:val="20"/>
              </w:rPr>
              <w:fldChar w:fldCharType="end"/>
            </w:r>
          </w:p>
        </w:sdtContent>
      </w:sdt>
    </w:sdtContent>
  </w:sdt>
  <w:p w:rsidR="00EF7E44" w:rsidRPr="00D721EE" w:rsidRDefault="00EF7E44">
    <w:pPr>
      <w:pStyle w:val="Footer"/>
      <w:rPr>
        <w:rFonts w:asciiTheme="minorHAnsi" w:hAnsiTheme="minorHAns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397" w:rsidRDefault="00341397" w:rsidP="008C495E">
      <w:pPr>
        <w:spacing w:before="0" w:line="240" w:lineRule="auto"/>
      </w:pPr>
      <w:r>
        <w:separator/>
      </w:r>
    </w:p>
  </w:footnote>
  <w:footnote w:type="continuationSeparator" w:id="0">
    <w:p w:rsidR="00341397" w:rsidRDefault="00341397" w:rsidP="008C495E">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44" w:rsidRPr="00C0278F" w:rsidRDefault="00EF7E44" w:rsidP="00151BAD">
    <w:pPr>
      <w:pStyle w:val="Header"/>
      <w:jc w:val="right"/>
      <w:rPr>
        <w:rFonts w:asciiTheme="minorHAnsi" w:hAnsiTheme="minorHAnsi"/>
        <w:sz w:val="20"/>
      </w:rPr>
    </w:pPr>
    <w:r>
      <w:tab/>
    </w:r>
    <w:r w:rsidRPr="00C0278F">
      <w:rPr>
        <w:rFonts w:asciiTheme="minorHAnsi" w:hAnsiTheme="minorHAnsi"/>
        <w:sz w:val="20"/>
      </w:rPr>
      <w:t xml:space="preserve">Załącznik  nr </w:t>
    </w:r>
    <w:r>
      <w:rPr>
        <w:rFonts w:asciiTheme="minorHAnsi" w:hAnsiTheme="minorHAnsi"/>
        <w:sz w:val="20"/>
      </w:rPr>
      <w:t>1 do instrukcji wypełniania wniosku o dofinansowanie</w:t>
    </w:r>
  </w:p>
  <w:p w:rsidR="00EF7E44" w:rsidRPr="00C55C4D" w:rsidRDefault="00EF7E44" w:rsidP="00332CDB">
    <w:pPr>
      <w:tabs>
        <w:tab w:val="left" w:pos="5190"/>
      </w:tabs>
      <w:jc w:val="center"/>
      <w:rPr>
        <w:sz w:val="20"/>
      </w:rPr>
    </w:pPr>
    <w:r w:rsidRPr="00C55C4D">
      <w:rPr>
        <w:rFonts w:ascii="Calibri" w:hAnsi="Calibri" w:cs="Arial"/>
        <w:sz w:val="20"/>
      </w:rPr>
      <w:t xml:space="preserve">                                                                                                                            </w:t>
    </w:r>
    <w:r w:rsidRPr="00C55C4D">
      <w:rPr>
        <w:rFonts w:asciiTheme="minorHAnsi" w:hAnsiTheme="minorHAnsi"/>
        <w:sz w:val="20"/>
      </w:rPr>
      <w:t>Nr naboru</w:t>
    </w:r>
    <w:r w:rsidR="00F04FE3">
      <w:rPr>
        <w:rFonts w:ascii="Calibri" w:hAnsi="Calibri" w:cs="Arial"/>
        <w:sz w:val="20"/>
      </w:rPr>
      <w:t xml:space="preserve"> RPDS.01.04</w:t>
    </w:r>
    <w:r w:rsidR="009D52C8">
      <w:rPr>
        <w:rFonts w:ascii="Calibri" w:hAnsi="Calibri" w:cs="Arial"/>
        <w:sz w:val="20"/>
      </w:rPr>
      <w:t>.01</w:t>
    </w:r>
    <w:r>
      <w:rPr>
        <w:rFonts w:ascii="Calibri" w:hAnsi="Calibri" w:cs="Arial"/>
        <w:sz w:val="20"/>
      </w:rPr>
      <w:t>-IP.01-02</w:t>
    </w:r>
    <w:r w:rsidR="00F61E00">
      <w:rPr>
        <w:rFonts w:ascii="Calibri" w:hAnsi="Calibri" w:cs="Arial"/>
        <w:sz w:val="20"/>
      </w:rPr>
      <w:t>-</w:t>
    </w:r>
    <w:r w:rsidR="00AD78C4">
      <w:rPr>
        <w:rFonts w:ascii="Calibri" w:hAnsi="Calibri" w:cs="Arial"/>
        <w:sz w:val="20"/>
      </w:rPr>
      <w:t>389</w:t>
    </w:r>
    <w:r w:rsidR="009D52C8">
      <w:rPr>
        <w:rFonts w:ascii="Calibri" w:hAnsi="Calibri" w:cs="Arial"/>
        <w:sz w:val="20"/>
      </w:rPr>
      <w:t>/</w:t>
    </w:r>
    <w:r w:rsidR="00AD78C4">
      <w:rPr>
        <w:rFonts w:ascii="Calibri" w:hAnsi="Calibri" w:cs="Arial"/>
        <w:sz w:val="20"/>
      </w:rPr>
      <w:t>20</w:t>
    </w:r>
  </w:p>
  <w:p w:rsidR="00EF7E44" w:rsidRDefault="00EF7E44" w:rsidP="00C0278F">
    <w:pPr>
      <w:pStyle w:val="Header"/>
      <w:tabs>
        <w:tab w:val="clear" w:pos="4536"/>
        <w:tab w:val="clear" w:pos="9072"/>
        <w:tab w:val="left" w:pos="6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5842"/>
  </w:hdrShapeDefaults>
  <w:footnotePr>
    <w:footnote w:id="-1"/>
    <w:footnote w:id="0"/>
  </w:footnotePr>
  <w:endnotePr>
    <w:endnote w:id="-1"/>
    <w:endnote w:id="0"/>
  </w:endnotePr>
  <w:compat/>
  <w:rsids>
    <w:rsidRoot w:val="008C495E"/>
    <w:rsid w:val="00007F32"/>
    <w:rsid w:val="000434B4"/>
    <w:rsid w:val="0005118E"/>
    <w:rsid w:val="000623B3"/>
    <w:rsid w:val="00094C3F"/>
    <w:rsid w:val="00095C84"/>
    <w:rsid w:val="000B6963"/>
    <w:rsid w:val="000C57E0"/>
    <w:rsid w:val="000E1C5E"/>
    <w:rsid w:val="000F5C98"/>
    <w:rsid w:val="000F76DD"/>
    <w:rsid w:val="00114550"/>
    <w:rsid w:val="0011515E"/>
    <w:rsid w:val="00133659"/>
    <w:rsid w:val="00141571"/>
    <w:rsid w:val="00151BAD"/>
    <w:rsid w:val="0015486C"/>
    <w:rsid w:val="0017262A"/>
    <w:rsid w:val="00177803"/>
    <w:rsid w:val="00187C0F"/>
    <w:rsid w:val="00191605"/>
    <w:rsid w:val="001B7345"/>
    <w:rsid w:val="001C0CF1"/>
    <w:rsid w:val="001C2E90"/>
    <w:rsid w:val="001C4F9E"/>
    <w:rsid w:val="00253FAA"/>
    <w:rsid w:val="002747B4"/>
    <w:rsid w:val="002972E4"/>
    <w:rsid w:val="002A1BDB"/>
    <w:rsid w:val="002A20B7"/>
    <w:rsid w:val="002B6673"/>
    <w:rsid w:val="002C1258"/>
    <w:rsid w:val="002C1BFC"/>
    <w:rsid w:val="002C4E15"/>
    <w:rsid w:val="002D347D"/>
    <w:rsid w:val="002D5507"/>
    <w:rsid w:val="002E6E1E"/>
    <w:rsid w:val="002F6273"/>
    <w:rsid w:val="0030111B"/>
    <w:rsid w:val="0032765F"/>
    <w:rsid w:val="0033077A"/>
    <w:rsid w:val="00331F09"/>
    <w:rsid w:val="00332CDB"/>
    <w:rsid w:val="00340A6B"/>
    <w:rsid w:val="00341397"/>
    <w:rsid w:val="00356F23"/>
    <w:rsid w:val="00364299"/>
    <w:rsid w:val="00370466"/>
    <w:rsid w:val="00372A5F"/>
    <w:rsid w:val="00395D16"/>
    <w:rsid w:val="003A317E"/>
    <w:rsid w:val="003C55C7"/>
    <w:rsid w:val="003D2C3D"/>
    <w:rsid w:val="003D3BC5"/>
    <w:rsid w:val="003E7930"/>
    <w:rsid w:val="003F1889"/>
    <w:rsid w:val="003F445C"/>
    <w:rsid w:val="004015E8"/>
    <w:rsid w:val="0041446A"/>
    <w:rsid w:val="00416940"/>
    <w:rsid w:val="00421C29"/>
    <w:rsid w:val="0042326E"/>
    <w:rsid w:val="00423496"/>
    <w:rsid w:val="00433A72"/>
    <w:rsid w:val="00453293"/>
    <w:rsid w:val="0046263E"/>
    <w:rsid w:val="00471B0C"/>
    <w:rsid w:val="00476947"/>
    <w:rsid w:val="00487A75"/>
    <w:rsid w:val="004A6E42"/>
    <w:rsid w:val="004B303A"/>
    <w:rsid w:val="004B3AF6"/>
    <w:rsid w:val="004E6481"/>
    <w:rsid w:val="004F6746"/>
    <w:rsid w:val="005038EA"/>
    <w:rsid w:val="00516B06"/>
    <w:rsid w:val="00522930"/>
    <w:rsid w:val="0052529C"/>
    <w:rsid w:val="00535E8F"/>
    <w:rsid w:val="00536389"/>
    <w:rsid w:val="00555321"/>
    <w:rsid w:val="0056032B"/>
    <w:rsid w:val="005657D8"/>
    <w:rsid w:val="005A1F55"/>
    <w:rsid w:val="005E022F"/>
    <w:rsid w:val="005E0C60"/>
    <w:rsid w:val="005E16D7"/>
    <w:rsid w:val="005F02A1"/>
    <w:rsid w:val="005F0E5F"/>
    <w:rsid w:val="0060140B"/>
    <w:rsid w:val="006033E8"/>
    <w:rsid w:val="00603595"/>
    <w:rsid w:val="00620A45"/>
    <w:rsid w:val="00627640"/>
    <w:rsid w:val="00635DB0"/>
    <w:rsid w:val="00661C0F"/>
    <w:rsid w:val="00676D47"/>
    <w:rsid w:val="006A09F0"/>
    <w:rsid w:val="006C29E2"/>
    <w:rsid w:val="006C652C"/>
    <w:rsid w:val="006D7023"/>
    <w:rsid w:val="006D7103"/>
    <w:rsid w:val="006E176E"/>
    <w:rsid w:val="006E2656"/>
    <w:rsid w:val="00701E65"/>
    <w:rsid w:val="00704B1F"/>
    <w:rsid w:val="007127DD"/>
    <w:rsid w:val="0072791E"/>
    <w:rsid w:val="007300ED"/>
    <w:rsid w:val="00741B27"/>
    <w:rsid w:val="007447A2"/>
    <w:rsid w:val="007479B1"/>
    <w:rsid w:val="0075310C"/>
    <w:rsid w:val="00761528"/>
    <w:rsid w:val="00762973"/>
    <w:rsid w:val="00764251"/>
    <w:rsid w:val="007650AC"/>
    <w:rsid w:val="007704B3"/>
    <w:rsid w:val="00771632"/>
    <w:rsid w:val="007807DB"/>
    <w:rsid w:val="00787387"/>
    <w:rsid w:val="00795831"/>
    <w:rsid w:val="007B2400"/>
    <w:rsid w:val="007B39C9"/>
    <w:rsid w:val="007D1CF1"/>
    <w:rsid w:val="007D7DE7"/>
    <w:rsid w:val="007E025A"/>
    <w:rsid w:val="007E6D53"/>
    <w:rsid w:val="007E73B8"/>
    <w:rsid w:val="007F1D52"/>
    <w:rsid w:val="008032B0"/>
    <w:rsid w:val="00823B2B"/>
    <w:rsid w:val="00832929"/>
    <w:rsid w:val="00842135"/>
    <w:rsid w:val="00852665"/>
    <w:rsid w:val="00855888"/>
    <w:rsid w:val="0086698D"/>
    <w:rsid w:val="00871F22"/>
    <w:rsid w:val="00883644"/>
    <w:rsid w:val="00886D79"/>
    <w:rsid w:val="008A09D1"/>
    <w:rsid w:val="008A195C"/>
    <w:rsid w:val="008A5B45"/>
    <w:rsid w:val="008B21E1"/>
    <w:rsid w:val="008B73B1"/>
    <w:rsid w:val="008C1026"/>
    <w:rsid w:val="008C495E"/>
    <w:rsid w:val="008E3F0D"/>
    <w:rsid w:val="008E6E33"/>
    <w:rsid w:val="008F1A47"/>
    <w:rsid w:val="009024D3"/>
    <w:rsid w:val="00903BE8"/>
    <w:rsid w:val="00911273"/>
    <w:rsid w:val="00924428"/>
    <w:rsid w:val="009302C6"/>
    <w:rsid w:val="00944996"/>
    <w:rsid w:val="009456DB"/>
    <w:rsid w:val="0095592C"/>
    <w:rsid w:val="00957784"/>
    <w:rsid w:val="009C633C"/>
    <w:rsid w:val="009D04DE"/>
    <w:rsid w:val="009D3C56"/>
    <w:rsid w:val="009D52C8"/>
    <w:rsid w:val="009E65D0"/>
    <w:rsid w:val="00A01D54"/>
    <w:rsid w:val="00A175EB"/>
    <w:rsid w:val="00A214C1"/>
    <w:rsid w:val="00A32D10"/>
    <w:rsid w:val="00A41B47"/>
    <w:rsid w:val="00A665D9"/>
    <w:rsid w:val="00A75FD2"/>
    <w:rsid w:val="00A84F1F"/>
    <w:rsid w:val="00AB5B4E"/>
    <w:rsid w:val="00AD01F2"/>
    <w:rsid w:val="00AD2437"/>
    <w:rsid w:val="00AD78C4"/>
    <w:rsid w:val="00AF4224"/>
    <w:rsid w:val="00B204DD"/>
    <w:rsid w:val="00B20FB5"/>
    <w:rsid w:val="00B2308A"/>
    <w:rsid w:val="00B235B0"/>
    <w:rsid w:val="00B304DD"/>
    <w:rsid w:val="00B65B2E"/>
    <w:rsid w:val="00B712D8"/>
    <w:rsid w:val="00B722E4"/>
    <w:rsid w:val="00B80838"/>
    <w:rsid w:val="00B83A65"/>
    <w:rsid w:val="00B840A9"/>
    <w:rsid w:val="00B87C4A"/>
    <w:rsid w:val="00BA1688"/>
    <w:rsid w:val="00BC0189"/>
    <w:rsid w:val="00BC03CE"/>
    <w:rsid w:val="00BD2B11"/>
    <w:rsid w:val="00BF3553"/>
    <w:rsid w:val="00C0278F"/>
    <w:rsid w:val="00C02E80"/>
    <w:rsid w:val="00C063C7"/>
    <w:rsid w:val="00C10532"/>
    <w:rsid w:val="00C14D4B"/>
    <w:rsid w:val="00C31711"/>
    <w:rsid w:val="00C322A8"/>
    <w:rsid w:val="00C377D3"/>
    <w:rsid w:val="00C40265"/>
    <w:rsid w:val="00C40E8D"/>
    <w:rsid w:val="00C42185"/>
    <w:rsid w:val="00C55C4D"/>
    <w:rsid w:val="00C621AD"/>
    <w:rsid w:val="00C776F3"/>
    <w:rsid w:val="00C8149D"/>
    <w:rsid w:val="00C8517F"/>
    <w:rsid w:val="00C8536E"/>
    <w:rsid w:val="00C90F5E"/>
    <w:rsid w:val="00CB2B67"/>
    <w:rsid w:val="00CC41E6"/>
    <w:rsid w:val="00CC7758"/>
    <w:rsid w:val="00CE73BE"/>
    <w:rsid w:val="00CF1BEA"/>
    <w:rsid w:val="00CF69D1"/>
    <w:rsid w:val="00CF79AF"/>
    <w:rsid w:val="00CF7E99"/>
    <w:rsid w:val="00D03CAB"/>
    <w:rsid w:val="00D11CB4"/>
    <w:rsid w:val="00D11E26"/>
    <w:rsid w:val="00D20133"/>
    <w:rsid w:val="00D23755"/>
    <w:rsid w:val="00D4113B"/>
    <w:rsid w:val="00D5098A"/>
    <w:rsid w:val="00D50C00"/>
    <w:rsid w:val="00D569AA"/>
    <w:rsid w:val="00D6464F"/>
    <w:rsid w:val="00D64BC7"/>
    <w:rsid w:val="00D67100"/>
    <w:rsid w:val="00D721EE"/>
    <w:rsid w:val="00D93881"/>
    <w:rsid w:val="00DC686F"/>
    <w:rsid w:val="00DF2FA3"/>
    <w:rsid w:val="00DF5A4F"/>
    <w:rsid w:val="00DF6D97"/>
    <w:rsid w:val="00DF7EE2"/>
    <w:rsid w:val="00E232BB"/>
    <w:rsid w:val="00E27D1D"/>
    <w:rsid w:val="00E32B6F"/>
    <w:rsid w:val="00E33C26"/>
    <w:rsid w:val="00E41403"/>
    <w:rsid w:val="00E428FC"/>
    <w:rsid w:val="00E43265"/>
    <w:rsid w:val="00E45E1F"/>
    <w:rsid w:val="00E47419"/>
    <w:rsid w:val="00E50219"/>
    <w:rsid w:val="00E61834"/>
    <w:rsid w:val="00E704BE"/>
    <w:rsid w:val="00E72468"/>
    <w:rsid w:val="00E90CA0"/>
    <w:rsid w:val="00E93BEA"/>
    <w:rsid w:val="00EA68D3"/>
    <w:rsid w:val="00ED29D0"/>
    <w:rsid w:val="00EE4C8C"/>
    <w:rsid w:val="00EE7D0C"/>
    <w:rsid w:val="00EF7E44"/>
    <w:rsid w:val="00F014B2"/>
    <w:rsid w:val="00F02218"/>
    <w:rsid w:val="00F04FE3"/>
    <w:rsid w:val="00F11106"/>
    <w:rsid w:val="00F126A5"/>
    <w:rsid w:val="00F41E11"/>
    <w:rsid w:val="00F449AA"/>
    <w:rsid w:val="00F4793E"/>
    <w:rsid w:val="00F60155"/>
    <w:rsid w:val="00F6067E"/>
    <w:rsid w:val="00F61B14"/>
    <w:rsid w:val="00F61E00"/>
    <w:rsid w:val="00F8106E"/>
    <w:rsid w:val="00F9504B"/>
    <w:rsid w:val="00FB70DB"/>
    <w:rsid w:val="00FC6B1D"/>
    <w:rsid w:val="00FD76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5E"/>
    <w:pPr>
      <w:spacing w:before="200" w:after="0" w:line="320" w:lineRule="atLeast"/>
    </w:pPr>
    <w:rPr>
      <w:rFonts w:ascii="Arial" w:eastAsia="Times New Roman" w:hAnsi="Arial" w:cs="Times New Roman"/>
      <w:szCs w:val="20"/>
      <w:lang w:eastAsia="pl-PL"/>
    </w:rPr>
  </w:style>
  <w:style w:type="paragraph" w:styleId="Heading1">
    <w:name w:val="heading 1"/>
    <w:basedOn w:val="Normal"/>
    <w:next w:val="Normal"/>
    <w:link w:val="Heading1Char"/>
    <w:uiPriority w:val="99"/>
    <w:qFormat/>
    <w:rsid w:val="008C49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495E"/>
    <w:rPr>
      <w:rFonts w:ascii="Arial" w:eastAsia="Times New Roman" w:hAnsi="Arial" w:cs="Arial"/>
      <w:b/>
      <w:bCs/>
      <w:kern w:val="32"/>
      <w:sz w:val="32"/>
      <w:szCs w:val="32"/>
      <w:lang w:eastAsia="pl-PL"/>
    </w:rPr>
  </w:style>
  <w:style w:type="paragraph" w:styleId="ListParagraph">
    <w:name w:val="List Paragraph"/>
    <w:basedOn w:val="Normal"/>
    <w:link w:val="ListParagraphChar"/>
    <w:uiPriority w:val="34"/>
    <w:qFormat/>
    <w:rsid w:val="008C495E"/>
    <w:pPr>
      <w:ind w:left="708"/>
    </w:pPr>
  </w:style>
  <w:style w:type="character" w:customStyle="1" w:styleId="ListParagraphChar">
    <w:name w:val="List Paragraph Char"/>
    <w:link w:val="ListParagraph"/>
    <w:uiPriority w:val="34"/>
    <w:rsid w:val="008C495E"/>
    <w:rPr>
      <w:rFonts w:ascii="Arial" w:eastAsia="Times New Roman" w:hAnsi="Arial" w:cs="Times New Roman"/>
      <w:szCs w:val="20"/>
      <w:lang w:eastAsia="pl-PL"/>
    </w:rPr>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
    <w:link w:val="FootnoteTextChar"/>
    <w:qFormat/>
    <w:rsid w:val="008C495E"/>
    <w:pPr>
      <w:spacing w:before="0" w:line="240" w:lineRule="auto"/>
    </w:pPr>
    <w:rPr>
      <w:rFonts w:ascii="Times New Roman" w:hAnsi="Times New Roman"/>
      <w:sz w:val="20"/>
      <w:szCs w:val="24"/>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rsid w:val="008C495E"/>
    <w:rPr>
      <w:rFonts w:ascii="Times New Roman" w:eastAsia="Times New Roman" w:hAnsi="Times New Roman" w:cs="Times New Roman"/>
      <w:sz w:val="20"/>
      <w:szCs w:val="24"/>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leGrid">
    <w:name w:val="Table Grid"/>
    <w:basedOn w:val="TableNormal"/>
    <w:uiPriority w:val="59"/>
    <w:rsid w:val="008C49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127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273"/>
    <w:rPr>
      <w:rFonts w:ascii="Tahoma" w:eastAsia="Times New Roman" w:hAnsi="Tahoma" w:cs="Tahoma"/>
      <w:sz w:val="16"/>
      <w:szCs w:val="16"/>
      <w:lang w:eastAsia="pl-PL"/>
    </w:rPr>
  </w:style>
  <w:style w:type="character" w:styleId="CommentReference">
    <w:name w:val="annotation reference"/>
    <w:basedOn w:val="DefaultParagraphFont"/>
    <w:uiPriority w:val="99"/>
    <w:semiHidden/>
    <w:unhideWhenUsed/>
    <w:rsid w:val="00370466"/>
    <w:rPr>
      <w:sz w:val="16"/>
      <w:szCs w:val="16"/>
    </w:rPr>
  </w:style>
  <w:style w:type="paragraph" w:styleId="CommentText">
    <w:name w:val="annotation text"/>
    <w:basedOn w:val="Normal"/>
    <w:link w:val="CommentTextChar"/>
    <w:uiPriority w:val="99"/>
    <w:unhideWhenUsed/>
    <w:rsid w:val="00370466"/>
    <w:pPr>
      <w:spacing w:line="240" w:lineRule="auto"/>
    </w:pPr>
    <w:rPr>
      <w:sz w:val="20"/>
    </w:rPr>
  </w:style>
  <w:style w:type="character" w:customStyle="1" w:styleId="CommentTextChar">
    <w:name w:val="Comment Text Char"/>
    <w:basedOn w:val="DefaultParagraphFont"/>
    <w:link w:val="CommentText"/>
    <w:uiPriority w:val="99"/>
    <w:rsid w:val="00370466"/>
    <w:rPr>
      <w:rFonts w:ascii="Arial" w:eastAsia="Times New Roman" w:hAnsi="Arial"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370466"/>
    <w:rPr>
      <w:b/>
      <w:bCs/>
    </w:rPr>
  </w:style>
  <w:style w:type="character" w:customStyle="1" w:styleId="CommentSubjectChar">
    <w:name w:val="Comment Subject Char"/>
    <w:basedOn w:val="CommentTextChar"/>
    <w:link w:val="CommentSubject"/>
    <w:uiPriority w:val="99"/>
    <w:semiHidden/>
    <w:rsid w:val="00370466"/>
    <w:rPr>
      <w:rFonts w:ascii="Arial" w:eastAsia="Times New Roman" w:hAnsi="Arial" w:cs="Times New Roman"/>
      <w:b/>
      <w:bCs/>
      <w:sz w:val="20"/>
      <w:szCs w:val="20"/>
      <w:lang w:eastAsia="pl-PL"/>
    </w:rPr>
  </w:style>
  <w:style w:type="paragraph" w:styleId="Header">
    <w:name w:val="header"/>
    <w:aliases w:val="Znak Znak,Znak"/>
    <w:basedOn w:val="Normal"/>
    <w:link w:val="HeaderChar"/>
    <w:uiPriority w:val="99"/>
    <w:unhideWhenUsed/>
    <w:rsid w:val="00C0278F"/>
    <w:pPr>
      <w:tabs>
        <w:tab w:val="center" w:pos="4536"/>
        <w:tab w:val="right" w:pos="9072"/>
      </w:tabs>
      <w:spacing w:before="0" w:line="240" w:lineRule="auto"/>
    </w:pPr>
  </w:style>
  <w:style w:type="character" w:customStyle="1" w:styleId="HeaderChar">
    <w:name w:val="Header Char"/>
    <w:aliases w:val="Znak Znak Char,Znak Char"/>
    <w:basedOn w:val="DefaultParagraphFont"/>
    <w:link w:val="Header"/>
    <w:uiPriority w:val="99"/>
    <w:rsid w:val="00C0278F"/>
    <w:rPr>
      <w:rFonts w:ascii="Arial" w:eastAsia="Times New Roman" w:hAnsi="Arial" w:cs="Times New Roman"/>
      <w:szCs w:val="20"/>
      <w:lang w:eastAsia="pl-PL"/>
    </w:rPr>
  </w:style>
  <w:style w:type="paragraph" w:styleId="Footer">
    <w:name w:val="footer"/>
    <w:basedOn w:val="Normal"/>
    <w:link w:val="FooterChar"/>
    <w:uiPriority w:val="99"/>
    <w:unhideWhenUsed/>
    <w:rsid w:val="00C0278F"/>
    <w:pPr>
      <w:tabs>
        <w:tab w:val="center" w:pos="4536"/>
        <w:tab w:val="right" w:pos="9072"/>
      </w:tabs>
      <w:spacing w:before="0" w:line="240" w:lineRule="auto"/>
    </w:pPr>
  </w:style>
  <w:style w:type="character" w:customStyle="1" w:styleId="FooterChar">
    <w:name w:val="Footer Char"/>
    <w:basedOn w:val="DefaultParagraphFont"/>
    <w:link w:val="Footer"/>
    <w:uiPriority w:val="99"/>
    <w:rsid w:val="00C0278F"/>
    <w:rPr>
      <w:rFonts w:ascii="Arial" w:eastAsia="Times New Roman" w:hAnsi="Arial" w:cs="Times New Roman"/>
      <w:szCs w:val="20"/>
      <w:lang w:eastAsia="pl-PL"/>
    </w:rPr>
  </w:style>
  <w:style w:type="character" w:customStyle="1" w:styleId="tabulatory">
    <w:name w:val="tabulatory"/>
    <w:basedOn w:val="DefaultParagraphFont"/>
    <w:rsid w:val="00883644"/>
  </w:style>
  <w:style w:type="paragraph" w:styleId="HTMLPreformatted">
    <w:name w:val="HTML Preformatted"/>
    <w:basedOn w:val="Normal"/>
    <w:link w:val="HTMLPreformattedChar"/>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r="http://schemas.openxmlformats.org/officeDocument/2006/relationships" xmlns:w="http://schemas.openxmlformats.org/wordprocessingml/2006/main">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063D-474F-45C4-9A0B-952D307A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2248</Words>
  <Characters>13489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Zach Ar</cp:lastModifiedBy>
  <cp:revision>2</cp:revision>
  <cp:lastPrinted>2016-12-12T08:19:00Z</cp:lastPrinted>
  <dcterms:created xsi:type="dcterms:W3CDTF">2020-05-13T11:40:00Z</dcterms:created>
  <dcterms:modified xsi:type="dcterms:W3CDTF">2020-05-13T11:40:00Z</dcterms:modified>
</cp:coreProperties>
</file>