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EEF7F" w14:textId="77777777" w:rsidR="001F08F5" w:rsidRPr="003D45F6" w:rsidRDefault="001F08F5" w:rsidP="00304DBF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A16D2A6" w14:textId="05DA7FC4" w:rsidR="004A3D74" w:rsidRDefault="00CC611C" w:rsidP="00EF2261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  <w:r w:rsidRPr="00512385">
        <w:rPr>
          <w:rFonts w:ascii="Calibri" w:hAnsi="Calibri" w:cs="Arial"/>
          <w:b/>
          <w:sz w:val="32"/>
          <w:szCs w:val="32"/>
        </w:rPr>
        <w:t>RPDS.01.0</w:t>
      </w:r>
      <w:r w:rsidR="00360D34">
        <w:rPr>
          <w:rFonts w:ascii="Calibri" w:hAnsi="Calibri" w:cs="Arial"/>
          <w:b/>
          <w:sz w:val="32"/>
          <w:szCs w:val="32"/>
        </w:rPr>
        <w:t>2</w:t>
      </w:r>
      <w:r w:rsidRPr="00512385">
        <w:rPr>
          <w:rFonts w:ascii="Calibri" w:hAnsi="Calibri" w:cs="Arial"/>
          <w:b/>
          <w:sz w:val="32"/>
          <w:szCs w:val="32"/>
        </w:rPr>
        <w:t>.0</w:t>
      </w:r>
      <w:r w:rsidR="00F20BE3">
        <w:rPr>
          <w:rFonts w:ascii="Calibri" w:hAnsi="Calibri" w:cs="Arial"/>
          <w:b/>
          <w:sz w:val="32"/>
          <w:szCs w:val="32"/>
        </w:rPr>
        <w:t>1</w:t>
      </w:r>
      <w:r w:rsidRPr="00512385">
        <w:rPr>
          <w:rFonts w:ascii="Calibri" w:hAnsi="Calibri" w:cs="Arial"/>
          <w:b/>
          <w:sz w:val="32"/>
          <w:szCs w:val="32"/>
        </w:rPr>
        <w:t>-IP.01-02-</w:t>
      </w:r>
      <w:r w:rsidR="00013392">
        <w:rPr>
          <w:rFonts w:ascii="Calibri" w:hAnsi="Calibri" w:cs="Arial"/>
          <w:b/>
          <w:sz w:val="32"/>
          <w:szCs w:val="32"/>
        </w:rPr>
        <w:t>421</w:t>
      </w:r>
      <w:r w:rsidR="000834CD" w:rsidRPr="00512385">
        <w:rPr>
          <w:rFonts w:ascii="Calibri" w:hAnsi="Calibri" w:cs="Arial"/>
          <w:b/>
          <w:sz w:val="32"/>
          <w:szCs w:val="32"/>
        </w:rPr>
        <w:t>/</w:t>
      </w:r>
      <w:r w:rsidR="00F20BE3">
        <w:rPr>
          <w:rFonts w:ascii="Calibri" w:hAnsi="Calibri" w:cs="Arial"/>
          <w:b/>
          <w:sz w:val="32"/>
          <w:szCs w:val="32"/>
        </w:rPr>
        <w:t>2</w:t>
      </w:r>
      <w:r w:rsidR="00CB7167">
        <w:rPr>
          <w:rFonts w:ascii="Calibri" w:hAnsi="Calibri" w:cs="Arial"/>
          <w:b/>
          <w:sz w:val="32"/>
          <w:szCs w:val="32"/>
        </w:rPr>
        <w:t>1</w:t>
      </w:r>
    </w:p>
    <w:p w14:paraId="489BF947" w14:textId="77777777" w:rsidR="00F2790E" w:rsidRPr="003D45F6" w:rsidRDefault="00F2790E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2B703DE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621C24C7" w14:textId="77777777"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6CBBCAEB" w14:textId="77777777"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14:paraId="7B649766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5D1111F9" w14:textId="77777777" w:rsidR="009C4473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656CE415" w14:textId="77777777" w:rsidR="009C4473" w:rsidRDefault="009C4473" w:rsidP="00304DBF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430ABA42" w14:textId="77777777" w:rsidR="00F20BE3" w:rsidRPr="003D45F6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D76F051" w14:textId="1BD820E2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ogłasza nabór wniosków o dofinansowanie realizacji projektów</w:t>
      </w:r>
    </w:p>
    <w:p w14:paraId="76EE2279" w14:textId="164D3A03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ze środków Europejskiego Funduszu Rozwoju Regionalnego </w:t>
      </w:r>
    </w:p>
    <w:p w14:paraId="2061BB29" w14:textId="02C4A61F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6055E078" w14:textId="77777777" w:rsidR="007A0BD4" w:rsidRPr="003D45F6" w:rsidRDefault="007A0BD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CB6543E" w14:textId="77777777" w:rsidR="00F20BE3" w:rsidRDefault="00F20BE3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14:paraId="26721C60" w14:textId="77777777"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Oś priorytetowa 1</w:t>
      </w:r>
    </w:p>
    <w:p w14:paraId="02B74773" w14:textId="46A08E33"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Przedsiębiorstwa i innowacje</w:t>
      </w:r>
    </w:p>
    <w:p w14:paraId="213CB9BC" w14:textId="77777777" w:rsidR="00CC611C" w:rsidRDefault="00CC611C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61909AC1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038DB64F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Działanie 1.2 </w:t>
      </w:r>
    </w:p>
    <w:p w14:paraId="6E97A028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Innowacyjne przedsiębiorstwa </w:t>
      </w:r>
    </w:p>
    <w:p w14:paraId="49E805DB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65358EFA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Poddziałanie 1.2.1 </w:t>
      </w:r>
    </w:p>
    <w:p w14:paraId="52BB06A7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Innowacyjne przedsiębiorstwa – konkurs horyzontalny </w:t>
      </w:r>
    </w:p>
    <w:p w14:paraId="6BFB1BD8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B680BE2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Typ 1.2.C.b </w:t>
      </w:r>
    </w:p>
    <w:p w14:paraId="019C8B7C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Usługi dla przedsiębiorstw – „Bon na innowacje”</w:t>
      </w:r>
    </w:p>
    <w:p w14:paraId="5C3C687C" w14:textId="77777777" w:rsidR="004A3D74" w:rsidRDefault="004A3D7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B925BCA" w14:textId="77777777"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8D82A2E" w14:textId="77777777"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7D6D95D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4A387530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0DFF84F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72F49CD6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D31ABE3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C6869FA" w14:textId="77777777" w:rsidR="00F20BE3" w:rsidRPr="00360D34" w:rsidRDefault="00F20BE3">
      <w:pPr>
        <w:autoSpaceDE w:val="0"/>
        <w:contextualSpacing/>
        <w:rPr>
          <w:rFonts w:asciiTheme="minorHAnsi" w:hAnsiTheme="minorHAnsi" w:cs="Calibri"/>
          <w:b/>
          <w:bCs/>
          <w:u w:val="single"/>
        </w:rPr>
      </w:pPr>
    </w:p>
    <w:p w14:paraId="14813BD6" w14:textId="77777777"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Termin naboru (składania wniosków):</w:t>
      </w:r>
    </w:p>
    <w:p w14:paraId="3CE12B9A" w14:textId="7EC79030"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841F95" w:rsidRPr="00841F95">
        <w:rPr>
          <w:rFonts w:asciiTheme="minorHAnsi" w:hAnsiTheme="minorHAnsi"/>
          <w:b/>
        </w:rPr>
        <w:t xml:space="preserve">od godz. 8:00 </w:t>
      </w:r>
      <w:r w:rsidR="00841F95">
        <w:rPr>
          <w:rFonts w:asciiTheme="minorHAnsi" w:hAnsiTheme="minorHAnsi"/>
          <w:b/>
        </w:rPr>
        <w:t xml:space="preserve">dnia </w:t>
      </w:r>
      <w:r w:rsidR="00841F95" w:rsidRPr="00841F95">
        <w:rPr>
          <w:rFonts w:asciiTheme="minorHAnsi" w:hAnsiTheme="minorHAnsi"/>
          <w:b/>
        </w:rPr>
        <w:t xml:space="preserve">02.08.2021 r. do godz. 15:00 </w:t>
      </w:r>
      <w:r w:rsidR="00841F95">
        <w:rPr>
          <w:rFonts w:asciiTheme="minorHAnsi" w:hAnsiTheme="minorHAnsi"/>
          <w:b/>
        </w:rPr>
        <w:t xml:space="preserve">dnia </w:t>
      </w:r>
      <w:r w:rsidR="00841F95" w:rsidRPr="00841F95">
        <w:rPr>
          <w:rFonts w:asciiTheme="minorHAnsi" w:hAnsiTheme="minorHAnsi"/>
          <w:b/>
        </w:rPr>
        <w:t>30.</w:t>
      </w:r>
      <w:r w:rsidR="00BD100D" w:rsidRPr="00841F95">
        <w:rPr>
          <w:rFonts w:asciiTheme="minorHAnsi" w:hAnsiTheme="minorHAnsi"/>
          <w:b/>
        </w:rPr>
        <w:t>0</w:t>
      </w:r>
      <w:r w:rsidR="00BD100D">
        <w:rPr>
          <w:rFonts w:asciiTheme="minorHAnsi" w:hAnsiTheme="minorHAnsi"/>
          <w:b/>
        </w:rPr>
        <w:t>9</w:t>
      </w:r>
      <w:r w:rsidR="00841F95" w:rsidRPr="00841F95">
        <w:rPr>
          <w:rFonts w:asciiTheme="minorHAnsi" w:hAnsiTheme="minorHAnsi"/>
          <w:b/>
        </w:rPr>
        <w:t>.</w:t>
      </w:r>
      <w:r w:rsidR="00841F95">
        <w:rPr>
          <w:rFonts w:asciiTheme="minorHAnsi" w:hAnsiTheme="minorHAnsi"/>
          <w:b/>
        </w:rPr>
        <w:t>2021 r</w:t>
      </w:r>
      <w:r w:rsidR="009D3A77" w:rsidRPr="003D45F6">
        <w:rPr>
          <w:rFonts w:asciiTheme="minorHAnsi" w:hAnsiTheme="minorHAnsi"/>
          <w:b/>
        </w:rPr>
        <w:t>.</w:t>
      </w:r>
    </w:p>
    <w:p w14:paraId="255288E4" w14:textId="77777777" w:rsidR="00EC4D43" w:rsidRDefault="00EC4D4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71921365" w14:textId="77777777" w:rsidR="00360D34" w:rsidRPr="003D45F6" w:rsidRDefault="00360D3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8F1B8FB" w14:textId="77777777" w:rsidR="002876B4" w:rsidRPr="003D45F6" w:rsidRDefault="002876B4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Rodzaj projektów podlegających dofinansowaniu</w:t>
      </w:r>
    </w:p>
    <w:p w14:paraId="4C525E9B" w14:textId="77777777" w:rsidR="002876B4" w:rsidRPr="003D45F6" w:rsidRDefault="002876B4" w:rsidP="00304DBF">
      <w:pPr>
        <w:rPr>
          <w:rFonts w:asciiTheme="minorHAnsi" w:hAnsiTheme="minorHAnsi"/>
        </w:rPr>
      </w:pPr>
    </w:p>
    <w:p w14:paraId="29B26DA0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>Przedmiotem konkursu jest udzielenie dofinansowania na realizację projektów grantowych, o których mowa w art. 35 ust. 2 ustawy wdrożeniowej. Projekty grantowe mają dotyczyć działań prowadzących do zwiększenia aktywności innowacyjnej mikro, małych i średnich przedsiębiorstw oraz stymulacji współpracy z uczelniami wyższymi i innymi jednostkami naukowymi (dla projektów o małej skali).</w:t>
      </w:r>
    </w:p>
    <w:p w14:paraId="3D246D30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7DB104" w14:textId="142BCDCE" w:rsidR="005D26D9" w:rsidRPr="005D26D9" w:rsidRDefault="005D26D9" w:rsidP="005D26D9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Konkurs jest skierowany do beneficjentów - </w:t>
      </w:r>
      <w:r w:rsidR="00952C7C">
        <w:rPr>
          <w:rFonts w:ascii="Calibri" w:eastAsia="Calibri" w:hAnsi="Calibri"/>
          <w:b/>
          <w:bCs/>
          <w:sz w:val="22"/>
          <w:szCs w:val="22"/>
          <w:lang w:eastAsia="en-US"/>
        </w:rPr>
        <w:t>g</w:t>
      </w: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rantodawców z obszaru całego województwa.</w:t>
      </w:r>
    </w:p>
    <w:p w14:paraId="7F4547DA" w14:textId="125E41D7" w:rsidR="00BD100D" w:rsidRPr="00BD100D" w:rsidRDefault="00BD100D" w:rsidP="00BD100D">
      <w:pPr>
        <w:widowControl w:val="0"/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D100D">
        <w:rPr>
          <w:rFonts w:ascii="Calibri" w:eastAsia="Calibri" w:hAnsi="Calibri"/>
          <w:b/>
          <w:sz w:val="22"/>
          <w:szCs w:val="22"/>
          <w:lang w:eastAsia="en-US"/>
        </w:rPr>
        <w:t xml:space="preserve">Ostatecznymi odbiorcami wsparcia w tym schemacie – </w:t>
      </w:r>
      <w:r w:rsidR="00952C7C">
        <w:rPr>
          <w:rFonts w:ascii="Calibri" w:eastAsia="Calibri" w:hAnsi="Calibri"/>
          <w:b/>
          <w:sz w:val="22"/>
          <w:szCs w:val="22"/>
          <w:lang w:eastAsia="en-US"/>
        </w:rPr>
        <w:t>g</w:t>
      </w:r>
      <w:r w:rsidRPr="00BD100D">
        <w:rPr>
          <w:rFonts w:ascii="Calibri" w:eastAsia="Calibri" w:hAnsi="Calibri"/>
          <w:b/>
          <w:sz w:val="22"/>
          <w:szCs w:val="22"/>
          <w:lang w:eastAsia="en-US"/>
        </w:rPr>
        <w:t>rantobiorcami będą MŚP posiadający siedzibę/oddział/filię/zakład* (podmioty zarejestrowane w rejestrze przedsiębiorców KRS) lub stałe/dodatkowe miejsce wykonywania działalności gospodarczej z obszaru całego województwa (osoby fizyczne prowadzące działalność gospodarczą zarejestrowane w CEIDG) na terenie województwa dolnośląskiego.</w:t>
      </w:r>
    </w:p>
    <w:p w14:paraId="02112F0B" w14:textId="77777777" w:rsidR="00BD100D" w:rsidRDefault="00BD100D" w:rsidP="005D26D9">
      <w:pPr>
        <w:widowControl w:val="0"/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A7E4508" w14:textId="59410795" w:rsidR="005D26D9" w:rsidRPr="005D26D9" w:rsidRDefault="00BD100D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D100D">
        <w:rPr>
          <w:rFonts w:ascii="Calibri" w:eastAsia="Calibri" w:hAnsi="Calibri"/>
          <w:b/>
          <w:sz w:val="22"/>
          <w:szCs w:val="22"/>
          <w:lang w:eastAsia="en-US"/>
        </w:rPr>
        <w:t xml:space="preserve">*w przypadku, gdy z dokumentu rejestrowego nie będzie wynikał wprost przedmiotowy fakt dokumentem potwierdzającym prowadzenie działalności gospodarczej na terenie województwa dolnośląskiego może być np. NIP-2. </w:t>
      </w:r>
    </w:p>
    <w:p w14:paraId="2ECCCE40" w14:textId="77777777" w:rsidR="00BD100D" w:rsidRDefault="00BD100D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14:paraId="092B2B76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5D26D9">
        <w:rPr>
          <w:rFonts w:ascii="Calibri" w:eastAsia="Calibri" w:hAnsi="Calibri"/>
          <w:sz w:val="22"/>
          <w:szCs w:val="22"/>
          <w:u w:val="single"/>
          <w:lang w:eastAsia="en-US"/>
        </w:rPr>
        <w:t>Projekt grantowy musi zakładać oferowanie MŚP dwóch rodzajów wsparcia:</w:t>
      </w:r>
    </w:p>
    <w:p w14:paraId="582F0264" w14:textId="26F5868F" w:rsidR="005D26D9" w:rsidRPr="005D26D9" w:rsidRDefault="005D26D9" w:rsidP="005D26D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b/>
          <w:color w:val="000000"/>
          <w:sz w:val="22"/>
          <w:szCs w:val="22"/>
        </w:rPr>
        <w:t xml:space="preserve">konsultacje i doradztwo udzielane przez </w:t>
      </w:r>
      <w:r w:rsidR="00952C7C">
        <w:rPr>
          <w:rFonts w:ascii="Calibri" w:eastAsia="SimSun" w:hAnsi="Calibri"/>
          <w:b/>
          <w:color w:val="000000"/>
          <w:sz w:val="22"/>
          <w:szCs w:val="22"/>
        </w:rPr>
        <w:t>g</w:t>
      </w:r>
      <w:r w:rsidRPr="005D26D9">
        <w:rPr>
          <w:rFonts w:ascii="Calibri" w:eastAsia="SimSun" w:hAnsi="Calibri"/>
          <w:b/>
          <w:color w:val="000000"/>
          <w:sz w:val="22"/>
          <w:szCs w:val="22"/>
        </w:rPr>
        <w:t>rantodawcę</w:t>
      </w:r>
      <w:r w:rsidRPr="005D26D9">
        <w:rPr>
          <w:rFonts w:ascii="Calibri" w:eastAsia="SimSun" w:hAnsi="Calibri"/>
          <w:color w:val="000000"/>
          <w:sz w:val="22"/>
          <w:szCs w:val="22"/>
        </w:rPr>
        <w:t xml:space="preserve"> w zakresie dot. np. wstępnej oceny możliwości dofinansowania projektu, wpisywania się MŚP i jego pomysłu/problemu w warunki konkursu (np. wpisywania się w inteligentne specjalizacje regionu), poszukiwania kompetentnych zespołów naukowych do współpracy w ramach bonu.</w:t>
      </w:r>
    </w:p>
    <w:p w14:paraId="1E7B9CD5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3C5D71" w14:textId="61B4D9DD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Powyższe wsparcie świadczone będzie przez </w:t>
      </w:r>
      <w:r w:rsidR="00952C7C">
        <w:rPr>
          <w:rFonts w:ascii="Calibri" w:eastAsia="Calibri" w:hAnsi="Calibri"/>
          <w:sz w:val="22"/>
          <w:szCs w:val="22"/>
          <w:lang w:eastAsia="en-US"/>
        </w:rPr>
        <w:t>g</w:t>
      </w:r>
      <w:r w:rsidRPr="005D26D9">
        <w:rPr>
          <w:rFonts w:ascii="Calibri" w:eastAsia="Calibri" w:hAnsi="Calibri"/>
          <w:sz w:val="22"/>
          <w:szCs w:val="22"/>
          <w:lang w:eastAsia="en-US"/>
        </w:rPr>
        <w:t>rantodawcę jako wsparcie niefinansowe (</w:t>
      </w:r>
      <w:r w:rsidRPr="005D26D9">
        <w:rPr>
          <w:rFonts w:ascii="Calibri" w:hAnsi="Calibri"/>
          <w:sz w:val="22"/>
          <w:szCs w:val="22"/>
          <w:lang w:eastAsia="en-US"/>
        </w:rPr>
        <w:t>realizujące wskaźnik:</w:t>
      </w:r>
      <w:r w:rsidRPr="005D26D9">
        <w:rPr>
          <w:rFonts w:ascii="Calibri" w:hAnsi="Calibri"/>
          <w:i/>
          <w:sz w:val="22"/>
          <w:szCs w:val="22"/>
          <w:lang w:eastAsia="en-US"/>
        </w:rPr>
        <w:t xml:space="preserve">  Liczba przedsiębiorstw otrzymujących wsparcie niefinansowe (CI 4) [Przedsiębiorstwa]</w:t>
      </w:r>
      <w:r w:rsidRPr="005D26D9">
        <w:rPr>
          <w:rFonts w:ascii="Calibri" w:hAnsi="Calibri"/>
          <w:iCs/>
          <w:sz w:val="22"/>
          <w:szCs w:val="22"/>
          <w:lang w:eastAsia="en-US"/>
        </w:rPr>
        <w:t>)</w:t>
      </w:r>
      <w:r w:rsidRPr="005D26D9">
        <w:rPr>
          <w:rFonts w:ascii="Calibri" w:eastAsia="Calibri" w:hAnsi="Calibri"/>
          <w:iCs/>
          <w:sz w:val="22"/>
          <w:szCs w:val="22"/>
          <w:lang w:eastAsia="en-US"/>
        </w:rPr>
        <w:t>.</w:t>
      </w:r>
    </w:p>
    <w:p w14:paraId="31D96529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0A96B4" w14:textId="3164F024" w:rsidR="005D26D9" w:rsidRPr="005D26D9" w:rsidRDefault="005D26D9" w:rsidP="005D26D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 xml:space="preserve">wsparcie w formule grantu (bonu) przekazywane przez </w:t>
      </w:r>
      <w:r w:rsidR="00952C7C">
        <w:rPr>
          <w:rFonts w:ascii="Calibri" w:eastAsia="SimSun" w:hAnsi="Calibri"/>
          <w:color w:val="000000"/>
          <w:sz w:val="22"/>
          <w:szCs w:val="22"/>
        </w:rPr>
        <w:t>g</w:t>
      </w:r>
      <w:r w:rsidRPr="005D26D9">
        <w:rPr>
          <w:rFonts w:ascii="Calibri" w:eastAsia="SimSun" w:hAnsi="Calibri"/>
          <w:color w:val="000000"/>
          <w:sz w:val="22"/>
          <w:szCs w:val="22"/>
        </w:rPr>
        <w:t xml:space="preserve">rantobiorcy przez </w:t>
      </w:r>
      <w:r w:rsidR="00952C7C">
        <w:rPr>
          <w:rFonts w:ascii="Calibri" w:eastAsia="SimSun" w:hAnsi="Calibri"/>
          <w:color w:val="000000"/>
          <w:sz w:val="22"/>
          <w:szCs w:val="22"/>
        </w:rPr>
        <w:t>g</w:t>
      </w:r>
      <w:r w:rsidRPr="005D26D9">
        <w:rPr>
          <w:rFonts w:ascii="Calibri" w:eastAsia="SimSun" w:hAnsi="Calibri"/>
          <w:color w:val="000000"/>
          <w:sz w:val="22"/>
          <w:szCs w:val="22"/>
        </w:rPr>
        <w:t>rantodawcę  – dofinansowanie przeznaczone na usługi na rzecz MŚP:</w:t>
      </w:r>
    </w:p>
    <w:p w14:paraId="3D447C2A" w14:textId="77777777" w:rsidR="005D26D9" w:rsidRPr="005D26D9" w:rsidRDefault="005D26D9" w:rsidP="005D26D9">
      <w:pPr>
        <w:widowControl w:val="0"/>
        <w:autoSpaceDE w:val="0"/>
        <w:autoSpaceDN w:val="0"/>
        <w:adjustRightInd w:val="0"/>
        <w:spacing w:line="276" w:lineRule="auto"/>
        <w:ind w:left="1070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usługi badawczo-rozwojowe dotyczące wdrożenia lub rozwoju produktu lub technologii m.in.:</w:t>
      </w:r>
    </w:p>
    <w:p w14:paraId="075C2C01" w14:textId="77777777" w:rsidR="005D26D9" w:rsidRPr="005D26D9" w:rsidRDefault="005D26D9" w:rsidP="005D26D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opracowanie nowej lub udoskonalonej usługi lub wyrobu,</w:t>
      </w:r>
    </w:p>
    <w:p w14:paraId="7610E68C" w14:textId="77777777" w:rsidR="005D26D9" w:rsidRPr="005D26D9" w:rsidRDefault="005D26D9" w:rsidP="005D26D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wykonanie testów wdrożeniowych,</w:t>
      </w:r>
    </w:p>
    <w:p w14:paraId="01696DF1" w14:textId="77777777" w:rsidR="005D26D9" w:rsidRPr="005D26D9" w:rsidRDefault="005D26D9" w:rsidP="005D26D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wykonanie analiz przedwdrożeniowych,</w:t>
      </w:r>
    </w:p>
    <w:p w14:paraId="44AB6B60" w14:textId="77777777" w:rsidR="005D26D9" w:rsidRPr="005D26D9" w:rsidRDefault="005D26D9" w:rsidP="005D26D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prowadzenie badań i analiz w zakresie optymalizacji produktu.</w:t>
      </w:r>
    </w:p>
    <w:p w14:paraId="7F431DE2" w14:textId="77777777" w:rsidR="005D26D9" w:rsidRPr="005D26D9" w:rsidRDefault="005D26D9" w:rsidP="005D26D9">
      <w:pPr>
        <w:widowControl w:val="0"/>
        <w:spacing w:line="276" w:lineRule="auto"/>
        <w:ind w:left="1276"/>
        <w:rPr>
          <w:rFonts w:ascii="Calibri" w:eastAsia="Calibri" w:hAnsi="Calibri"/>
          <w:sz w:val="22"/>
          <w:szCs w:val="22"/>
          <w:lang w:eastAsia="en-US"/>
        </w:rPr>
      </w:pPr>
    </w:p>
    <w:p w14:paraId="4CDE74DE" w14:textId="77777777" w:rsidR="005D26D9" w:rsidRPr="005D26D9" w:rsidRDefault="005D26D9" w:rsidP="005D26D9">
      <w:pPr>
        <w:widowControl w:val="0"/>
        <w:autoSpaceDE w:val="0"/>
        <w:autoSpaceDN w:val="0"/>
        <w:adjustRightInd w:val="0"/>
        <w:spacing w:line="276" w:lineRule="auto"/>
        <w:ind w:left="1070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b/>
          <w:bCs/>
          <w:color w:val="000000"/>
          <w:sz w:val="22"/>
          <w:szCs w:val="22"/>
        </w:rPr>
        <w:t>audyt technologiczny</w:t>
      </w:r>
      <w:r w:rsidRPr="005D26D9">
        <w:rPr>
          <w:rFonts w:ascii="Calibri" w:eastAsia="SimSun" w:hAnsi="Calibri"/>
          <w:color w:val="000000"/>
          <w:sz w:val="22"/>
          <w:szCs w:val="22"/>
        </w:rPr>
        <w:t xml:space="preserve"> – zdiagnozowanie potrzeb badawczych i technologicznych oraz pomoc w identyfikacji potrzeb wdrożeniowych, których realizacja nastąpi w ramach usługi badawczo –rozwojowej – do 5 % otrzymanego bonu.</w:t>
      </w:r>
    </w:p>
    <w:p w14:paraId="0D36359A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3B31D53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UWAGA: Usługa badawcza musi być </w:t>
      </w: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obligatoryjnym przedmiotem przekazanego bonu,</w:t>
      </w: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 a audyt technologiczny może wystąpić jedynie jako jeden z jego elementów.</w:t>
      </w:r>
    </w:p>
    <w:p w14:paraId="3978E4D3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DEF4D3D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Rezultatem skorzystania ze wsparcia w Schemacie 1.2.C.b ma być między innymi: </w:t>
      </w:r>
    </w:p>
    <w:p w14:paraId="10730E28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– zainicjowanie kontaktów mikro-, małych oraz średnich przedsiębiorców z jednostkami naukowymi </w:t>
      </w:r>
      <w:r w:rsidRPr="005D26D9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czego efektem będzie poprawa działalności przedsiębiorstwa, w oparciu o wiedzę wywodzącą się ze środowisk naukowych; </w:t>
      </w:r>
    </w:p>
    <w:p w14:paraId="28F2C4B6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>– ulepszenie produktu, posiadanej technologii.</w:t>
      </w:r>
    </w:p>
    <w:p w14:paraId="04714C18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980DD42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>Realizacja projektu grantowego ma umożliwić przyznanie bonów/grantów jedynie projektom, których realizacja przyczyni się do powstania innowacji produktowej lub procesowej, a także projektom wpisującym się w specjalizacje i podobszary dolnośląskich regionalnych specjalizacji określonych w Dolnośląskiej Strategii Innowacji 2030 przyjętej uchwałą  nr 3270/VI/21 Zarządu</w:t>
      </w:r>
    </w:p>
    <w:p w14:paraId="2FB4EAB8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Województwa Dolnośląskiego z dnia 5 stycznia 2021 r. </w:t>
      </w:r>
    </w:p>
    <w:p w14:paraId="4A9D6218" w14:textId="77777777" w:rsidR="005D26D9" w:rsidRPr="005D26D9" w:rsidRDefault="005D26D9" w:rsidP="005D26D9">
      <w:pPr>
        <w:spacing w:before="120" w:after="120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Dolnośląska Strategia Innowacji 2030 dostępna jest na stronie internetowej DIP: </w:t>
      </w:r>
      <w:hyperlink r:id="rId8" w:history="1">
        <w:r w:rsidRPr="005D26D9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http://www.dip.dolnyslask.pl/o-programie/zapoznaj-sie-z-prawem-i-dokumentami.html</w:t>
        </w:r>
      </w:hyperlink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12C916FA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78329A5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UWAGA:</w:t>
      </w:r>
    </w:p>
    <w:p w14:paraId="0DE17AF5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Wykonawcą usługi badawczo-rozwojowej może być wyłącznie jednostka naukowa rozumiana jako organizacja prowadząca badania i upowszechniająca wiedzę, określona w art. 2 pkt 83 rozporządzenia Komisji (UE) nr 651/2014 [GBER].</w:t>
      </w:r>
      <w:r w:rsidRPr="005D26D9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3E64DCB2" w14:textId="77777777" w:rsidR="00D5042B" w:rsidRDefault="00D5042B" w:rsidP="00D5042B">
      <w:pPr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3371D449" w14:textId="77777777" w:rsidR="00D5042B" w:rsidRPr="00510E2D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 w:cs="Arial"/>
          <w:sz w:val="22"/>
          <w:szCs w:val="22"/>
          <w:lang w:eastAsia="en-US"/>
        </w:rPr>
        <w:t xml:space="preserve">W trakcie oceny wniosku o dofinansowanie sprawdzane będzie czy założenia realizacji projektu grantowego przedstawione przez wnioskodawcę, zapewniają realizację usług poprzez Wykonawcę – jednostkę </w:t>
      </w:r>
      <w:r w:rsidRPr="00510E2D">
        <w:rPr>
          <w:rFonts w:ascii="Calibri" w:eastAsia="Calibri" w:hAnsi="Calibri" w:cs="Arial"/>
          <w:sz w:val="22"/>
          <w:szCs w:val="22"/>
          <w:lang w:eastAsia="en-US"/>
        </w:rPr>
        <w:t xml:space="preserve">naukową posiadającą </w:t>
      </w:r>
      <w:r w:rsidRPr="00510E2D">
        <w:rPr>
          <w:rFonts w:ascii="Calibri" w:eastAsia="Calibri" w:hAnsi="Calibri"/>
          <w:sz w:val="22"/>
          <w:szCs w:val="22"/>
          <w:lang w:eastAsia="en-US"/>
        </w:rPr>
        <w:t>siedzibę na terytorium Rzeczypospolitej Polskiej, która zalicza się do jednej z poniższych kategorii zgodnie z aktualnie obowiązującymi przepisami prawa w tym zakresie:</w:t>
      </w:r>
    </w:p>
    <w:p w14:paraId="30E9C55E" w14:textId="77777777" w:rsidR="00D5042B" w:rsidRPr="00510E2D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10E2D">
        <w:rPr>
          <w:rFonts w:ascii="Calibri" w:eastAsia="Calibri" w:hAnsi="Calibri"/>
          <w:sz w:val="22"/>
          <w:szCs w:val="22"/>
          <w:lang w:eastAsia="en-US"/>
        </w:rPr>
        <w:t xml:space="preserve">1) „organizacje prowadzące badania i upowszechniające wiedzę”, określone w art. 2 pkt 83 rozporządzenia KE (UE) nr 651/2014 uznającego niektóre rodzaje pomocy za zgodne z rynkiem wewnętrznym w zastosowaniu art. 107 i 108 Traktatu, posiadające kategorię naukową A+, A albo B ustawy przyznaną na podstawie przepisów o szkolnictwie wyższym i nauce; lub </w:t>
      </w:r>
    </w:p>
    <w:p w14:paraId="1345809E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 xml:space="preserve">2) spółki celowe uczelni, o których mowa w art. 149 ust. 1 ustawy z dnia 20 lipca 2018 r. Prawo o szkolnictwie wyższym i nauce lub spółki celowe jednostki naukowej; lub </w:t>
      </w:r>
    </w:p>
    <w:p w14:paraId="6C63DC3A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 xml:space="preserve">3) centra transferu technologii uczelni, o których mowa w art. 148 ust. 1 ustawy Prawo o szkolnictwie wyższym i nauce; lub </w:t>
      </w:r>
    </w:p>
    <w:p w14:paraId="4E048B11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 xml:space="preserve">4) przedsiębiorcy posiadający status centrum badawczo-rozwojowego, o którym mowa w art. 17 ust. 1 ustawy z dnia 30 maja 2008 r. o niektórych formach wspierania działalności innowacyjnej; lub </w:t>
      </w:r>
    </w:p>
    <w:p w14:paraId="1F57D788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 xml:space="preserve">5) akredytowane laboratoria (posiadające akredytację Polskiego Centrum Akredytacji) lub notyfikowane laboratoria przez podmioty, o których mowa w art. 21 ust. 1 ustawy z dnia 30 sierpnia 2002 r. o systemie oceny zgodności; lub </w:t>
      </w:r>
    </w:p>
    <w:p w14:paraId="07F43368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>6) Sieć Badawcza Łukasiewicz, o której mowa w art. 1 ust. 1 ustawy z dnia 21 lutego 2019 r. o Sieci Badawczej Łukasiewicz</w:t>
      </w:r>
      <w:r w:rsidRPr="00D5042B">
        <w:rPr>
          <w:rFonts w:ascii="Calibri" w:eastAsia="Calibri" w:hAnsi="Calibri"/>
          <w:strike/>
          <w:color w:val="FF0000"/>
          <w:sz w:val="22"/>
          <w:szCs w:val="22"/>
          <w:lang w:eastAsia="en-US"/>
        </w:rPr>
        <w:t>;</w:t>
      </w:r>
    </w:p>
    <w:p w14:paraId="23CD6EA1" w14:textId="77777777" w:rsidR="00D5042B" w:rsidRPr="00D5042B" w:rsidRDefault="00D5042B" w:rsidP="00D5042B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5042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Ponadto </w:t>
      </w:r>
      <w:r w:rsidRPr="00D5042B">
        <w:rPr>
          <w:rFonts w:ascii="Calibri" w:eastAsia="Calibri" w:hAnsi="Calibri"/>
          <w:sz w:val="22"/>
          <w:szCs w:val="22"/>
          <w:lang w:eastAsia="en-US"/>
        </w:rPr>
        <w:t>Wnioskodawca łącznie z partnerami (jeśli dotyczy) w ramach projektu nie mogą jednocześnie występować jako operator bonów i jednocześnie wykonawca usług B+R.</w:t>
      </w:r>
    </w:p>
    <w:p w14:paraId="1B19E3E4" w14:textId="77777777" w:rsidR="00D5042B" w:rsidRPr="00D5042B" w:rsidRDefault="00D5042B" w:rsidP="00D5042B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36B381F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354C20C" w14:textId="00672239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Jeden </w:t>
      </w:r>
      <w:r w:rsidR="00952C7C">
        <w:rPr>
          <w:rFonts w:ascii="Calibri" w:eastAsia="Calibri" w:hAnsi="Calibri"/>
          <w:b/>
          <w:bCs/>
          <w:sz w:val="22"/>
          <w:szCs w:val="22"/>
          <w:lang w:eastAsia="en-US"/>
        </w:rPr>
        <w:t>g</w:t>
      </w: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rantobiorca, może złożyć tylko jeden wniosek o grant. </w:t>
      </w:r>
    </w:p>
    <w:p w14:paraId="55A51675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5B6703" w14:textId="099FFCA2" w:rsidR="005D26D9" w:rsidRPr="005D26D9" w:rsidRDefault="00A2393C" w:rsidP="00233E0D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 xml:space="preserve">Grantodawca (operator bonów), włącznie z partnerami (jeśli dotyczy), w ramach projektu nie może być jednocześnie </w:t>
      </w:r>
      <w:r w:rsidR="00952C7C">
        <w:rPr>
          <w:rFonts w:ascii="Calibri" w:eastAsia="Calibri" w:hAnsi="Calibri"/>
          <w:b/>
          <w:bCs/>
          <w:sz w:val="22"/>
          <w:szCs w:val="22"/>
          <w:lang w:eastAsia="en-US"/>
        </w:rPr>
        <w:t>g</w:t>
      </w:r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t>rantobiorcą i/lub wykonawcą usługi. Grantobiorca nie może być  podmiotem powiązanym z beneficjentem / grantodawcą osobowo lub kapitałowo.</w:t>
      </w:r>
    </w:p>
    <w:p w14:paraId="028BB622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4D6FA3D" w14:textId="5A97AF68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Dany podmiot może wystąpić tylko jeden raz jako wnioskodawca (lider) i jeden raz  jako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partner we wnioskach o dofinansowanie projektów złożonych w ramach konkursu. L</w:t>
      </w:r>
      <w:r w:rsidRPr="005D26D9">
        <w:rPr>
          <w:rFonts w:ascii="Calibri" w:eastAsia="Calibri" w:hAnsi="Calibri"/>
          <w:sz w:val="22"/>
          <w:szCs w:val="22"/>
          <w:lang w:eastAsia="en-US"/>
        </w:rPr>
        <w:t>iczba podmiotów wchodzących w skład projektu partnerskiego nie może przekroczyć 4 podmiotów (włącznie z liderem);</w:t>
      </w:r>
    </w:p>
    <w:p w14:paraId="064ABF5F" w14:textId="77777777" w:rsidR="005D26D9" w:rsidRPr="005D26D9" w:rsidRDefault="005D26D9" w:rsidP="005D26D9">
      <w:pPr>
        <w:widowControl w:val="0"/>
        <w:tabs>
          <w:tab w:val="left" w:pos="6826"/>
        </w:tabs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</w:p>
    <w:p w14:paraId="315CA5A0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4A4AB1EF" w14:textId="77777777" w:rsidR="00EA6A3E" w:rsidRDefault="00EA6A3E" w:rsidP="00EF2261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7EB10B25" w14:textId="5D8A513B" w:rsidR="00E10F82" w:rsidRPr="00E10F82" w:rsidRDefault="00E10F82" w:rsidP="00E10F82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E10F82">
        <w:rPr>
          <w:rFonts w:ascii="Calibri" w:eastAsia="Calibri" w:hAnsi="Calibri"/>
          <w:sz w:val="22"/>
          <w:szCs w:val="22"/>
          <w:lang w:eastAsia="en-US"/>
        </w:rPr>
        <w:t xml:space="preserve">O dofinansowanie w ramach konkursu mogą ubiegać się następujące typy Wnioskodawców/Beneficjentów oraz Partnerów (zwanymi dalej </w:t>
      </w:r>
      <w:r w:rsidR="00952C7C">
        <w:rPr>
          <w:rFonts w:ascii="Calibri" w:eastAsia="Calibri" w:hAnsi="Calibri"/>
          <w:sz w:val="22"/>
          <w:szCs w:val="22"/>
          <w:lang w:eastAsia="en-US"/>
        </w:rPr>
        <w:t>g</w:t>
      </w:r>
      <w:r w:rsidRPr="00E10F82">
        <w:rPr>
          <w:rFonts w:ascii="Calibri" w:eastAsia="Calibri" w:hAnsi="Calibri"/>
          <w:sz w:val="22"/>
          <w:szCs w:val="22"/>
          <w:lang w:eastAsia="en-US"/>
        </w:rPr>
        <w:t>rantodawcami):</w:t>
      </w:r>
    </w:p>
    <w:p w14:paraId="690584CC" w14:textId="77777777" w:rsidR="00E10F82" w:rsidRPr="00E10F82" w:rsidRDefault="00E10F82" w:rsidP="00E10F82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13C477C7" w14:textId="77777777" w:rsidR="00E10F82" w:rsidRPr="00E10F82" w:rsidRDefault="00E10F82" w:rsidP="00E10F82">
      <w:pPr>
        <w:widowControl w:val="0"/>
        <w:autoSpaceDE w:val="0"/>
        <w:autoSpaceDN w:val="0"/>
        <w:adjustRightInd w:val="0"/>
        <w:spacing w:line="276" w:lineRule="auto"/>
        <w:ind w:left="1070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E10F82">
        <w:rPr>
          <w:rFonts w:ascii="Calibri" w:eastAsia="SimSun" w:hAnsi="Calibri"/>
          <w:color w:val="000000"/>
          <w:sz w:val="22"/>
          <w:szCs w:val="22"/>
        </w:rPr>
        <w:t>jednostki samorządu terytorialnego;</w:t>
      </w:r>
    </w:p>
    <w:p w14:paraId="7333D5D2" w14:textId="77777777" w:rsidR="00E10F82" w:rsidRPr="00E10F82" w:rsidRDefault="00E10F82" w:rsidP="00E10F82">
      <w:pPr>
        <w:widowControl w:val="0"/>
        <w:autoSpaceDE w:val="0"/>
        <w:autoSpaceDN w:val="0"/>
        <w:adjustRightInd w:val="0"/>
        <w:spacing w:line="276" w:lineRule="auto"/>
        <w:ind w:left="1070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E10F82">
        <w:rPr>
          <w:rFonts w:ascii="Calibri" w:eastAsia="SimSun" w:hAnsi="Calibri"/>
          <w:color w:val="000000"/>
          <w:sz w:val="22"/>
          <w:szCs w:val="22"/>
        </w:rPr>
        <w:t>Instytucje Otoczenia Biznesu (IOB), w tym organizacje pozarządowe.</w:t>
      </w:r>
    </w:p>
    <w:p w14:paraId="269ED2E6" w14:textId="77777777" w:rsidR="00E10F82" w:rsidRPr="00E10F82" w:rsidRDefault="00E10F82" w:rsidP="00E10F8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0D93E7" w14:textId="77777777" w:rsidR="00E10F82" w:rsidRPr="00E10F82" w:rsidRDefault="00E10F82" w:rsidP="00E10F82">
      <w:pPr>
        <w:spacing w:after="200" w:line="276" w:lineRule="auto"/>
        <w:rPr>
          <w:rFonts w:ascii="Calibri" w:hAnsi="Calibri"/>
          <w:iCs/>
          <w:sz w:val="22"/>
          <w:szCs w:val="22"/>
        </w:rPr>
      </w:pPr>
      <w:r w:rsidRPr="00E10F82">
        <w:rPr>
          <w:rFonts w:ascii="Calibri" w:hAnsi="Calibri"/>
          <w:iCs/>
          <w:sz w:val="22"/>
          <w:szCs w:val="22"/>
        </w:rPr>
        <w:t xml:space="preserve">Zgodnie z definicją zawartą w SZOOP RPO WD 2014-2020 </w:t>
      </w:r>
      <w:r w:rsidRPr="00E10F82">
        <w:rPr>
          <w:rFonts w:ascii="Calibri" w:hAnsi="Calibri"/>
          <w:i/>
          <w:iCs/>
          <w:sz w:val="22"/>
          <w:szCs w:val="22"/>
        </w:rPr>
        <w:t>Instytucje Otoczenia Biznesu (IOB) to, bez względu na formę prawną, podmioty prowadzące działalność na rzecz rozwoju przedsiębiorczości i innowacyjności, niedziałające dla zysku lub przeznaczające zysk na cele statutowe zgodnie z zapisami w statucie lub innym równoważnym dokumencie założycielskim. Posiadające bazę materialną, techniczną i zasoby ludzkie oraz kompetencyjne niezbędne do świadczenia usług na rzecz sektora MŚP</w:t>
      </w:r>
      <w:r w:rsidRPr="00E10F82">
        <w:rPr>
          <w:rFonts w:ascii="Calibri" w:hAnsi="Calibri"/>
          <w:iCs/>
          <w:sz w:val="22"/>
          <w:szCs w:val="22"/>
        </w:rPr>
        <w:t xml:space="preserve">. </w:t>
      </w:r>
    </w:p>
    <w:p w14:paraId="41EFD04C" w14:textId="77777777" w:rsidR="00E10F82" w:rsidRPr="00E10F82" w:rsidRDefault="00E10F82" w:rsidP="00E10F82">
      <w:pPr>
        <w:spacing w:after="200" w:line="276" w:lineRule="auto"/>
        <w:rPr>
          <w:rFonts w:ascii="Calibri" w:hAnsi="Calibri"/>
          <w:sz w:val="22"/>
          <w:szCs w:val="22"/>
        </w:rPr>
      </w:pPr>
      <w:r w:rsidRPr="00E10F82">
        <w:rPr>
          <w:rFonts w:ascii="Calibri" w:hAnsi="Calibri"/>
          <w:iCs/>
          <w:sz w:val="22"/>
          <w:szCs w:val="22"/>
        </w:rPr>
        <w:t xml:space="preserve">Wnioskodawca powinien potwierdzić poprzez zapisy w odpowiednich dokumentach rejestrowych (typu statut), że charakter prowadzonej przez niego działalności jest zgodny z treścią wyżej przytoczonej definicji oraz udokumentować prowadzenie takiej działalności w okresie co najmniej dwóch zamkniętych lat obrotowych przed dniem ogłoszenia konkursu (poprzez dołączenie do wniosku </w:t>
      </w:r>
      <w:r w:rsidRPr="00E10F82">
        <w:rPr>
          <w:rFonts w:ascii="Calibri" w:hAnsi="Calibri"/>
          <w:sz w:val="22"/>
          <w:szCs w:val="22"/>
        </w:rPr>
        <w:t xml:space="preserve">dokumentów potwierdzających, że IOB prowadzi działalność na rzecz MSP, np. statut IOB; kopia sprawozdań ze szkolenia; faktury lub umowy wystawione dla MSP potwierdzające wykonanie usług na rzecz MSP; listy uczestników szkoleń). </w:t>
      </w:r>
    </w:p>
    <w:p w14:paraId="2816C31C" w14:textId="77777777" w:rsidR="00E10F82" w:rsidRPr="00E10F82" w:rsidRDefault="00E10F82" w:rsidP="00E10F82">
      <w:pPr>
        <w:spacing w:after="200" w:line="276" w:lineRule="auto"/>
        <w:rPr>
          <w:rFonts w:ascii="Calibri" w:hAnsi="Calibri"/>
          <w:sz w:val="22"/>
          <w:szCs w:val="22"/>
        </w:rPr>
      </w:pPr>
      <w:r w:rsidRPr="00E10F82">
        <w:rPr>
          <w:rFonts w:ascii="Calibri" w:hAnsi="Calibri" w:cs="Calibri"/>
          <w:bCs/>
          <w:sz w:val="22"/>
          <w:szCs w:val="22"/>
        </w:rPr>
        <w:t xml:space="preserve">Dołączenie do dokumentacji aplikacyjnej potwierdzającej, że IOB w ciągu 2 lat przeprowadziła np. tylko jedno szkolenie dla MSP nie jest wystarczającym dokumentem potwierdzającym, że IOB prowadzi </w:t>
      </w:r>
      <w:r w:rsidRPr="00E10F82">
        <w:rPr>
          <w:rFonts w:ascii="Calibri" w:hAnsi="Calibri" w:cs="Calibri"/>
          <w:b/>
          <w:bCs/>
          <w:sz w:val="22"/>
          <w:szCs w:val="22"/>
        </w:rPr>
        <w:t>nieprzerwanie</w:t>
      </w:r>
      <w:r w:rsidRPr="00E10F82">
        <w:rPr>
          <w:rFonts w:ascii="Calibri" w:hAnsi="Calibri" w:cs="Calibri"/>
          <w:bCs/>
          <w:sz w:val="22"/>
          <w:szCs w:val="22"/>
        </w:rPr>
        <w:t xml:space="preserve"> działalność na rzecz MSP w ciągu 2 zamkniętych lat obrotowych. Rodzaj i ilość dokumentów musi być adekwatna do dotychczasowej skali działania IOB oraz wielkości planowanego do realizacji zakresu projektu i pochodzić z różnych okresów 2 zamkniętych lat obrotowych.</w:t>
      </w:r>
      <w:r w:rsidRPr="00E10F82">
        <w:rPr>
          <w:rFonts w:ascii="Calibri" w:hAnsi="Calibri"/>
          <w:sz w:val="18"/>
          <w:szCs w:val="18"/>
        </w:rPr>
        <w:t xml:space="preserve"> </w:t>
      </w:r>
    </w:p>
    <w:p w14:paraId="0C47D84D" w14:textId="77777777" w:rsidR="00E10F82" w:rsidRPr="00E10F82" w:rsidRDefault="00E10F82" w:rsidP="00E10F8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10F82">
        <w:rPr>
          <w:rFonts w:ascii="Calibri" w:hAnsi="Calibri"/>
          <w:iCs/>
          <w:sz w:val="22"/>
          <w:szCs w:val="22"/>
        </w:rPr>
        <w:t>UWAGA: Obowiązek spełnienia wyżej opisanych wymogów dotyczy zarówno wnioskodawcy (lidera w przypadku projektów partnerskich), jak i partnera/-ów w projekcie, jeśli deklarują status IOB.</w:t>
      </w:r>
    </w:p>
    <w:p w14:paraId="15CCFC34" w14:textId="77777777" w:rsidR="002876B4" w:rsidRPr="003D45F6" w:rsidRDefault="002876B4" w:rsidP="00304DBF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F40B1D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745B4886" w14:textId="77777777" w:rsidR="00F2790E" w:rsidRPr="003D45F6" w:rsidRDefault="00F2790E" w:rsidP="00304DBF">
      <w:pPr>
        <w:rPr>
          <w:rFonts w:asciiTheme="minorHAnsi" w:hAnsiTheme="minorHAnsi"/>
          <w:sz w:val="22"/>
          <w:szCs w:val="22"/>
        </w:rPr>
      </w:pPr>
    </w:p>
    <w:p w14:paraId="5A2EFFA6" w14:textId="7A9F7042"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CC611C">
        <w:rPr>
          <w:rFonts w:asciiTheme="minorHAnsi" w:hAnsiTheme="minorHAnsi"/>
          <w:color w:val="auto"/>
          <w:sz w:val="22"/>
          <w:szCs w:val="22"/>
        </w:rPr>
        <w:lastRenderedPageBreak/>
        <w:t>Zgodnie z postanowieniami Harmonogramu naborów wniosków o dofinansowanie w trybie konkursowym dla RPO WD 2014-2020, przyjętego Uchwałą Zarządu Województwa Dolnośląsk</w:t>
      </w:r>
      <w:r w:rsidR="00B31933">
        <w:rPr>
          <w:rFonts w:asciiTheme="minorHAnsi" w:hAnsiTheme="minorHAnsi"/>
          <w:color w:val="auto"/>
          <w:sz w:val="22"/>
          <w:szCs w:val="22"/>
        </w:rPr>
        <w:t>iego na realizację Działania 1.2</w:t>
      </w:r>
      <w:r w:rsidRPr="00CC611C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B31933">
        <w:rPr>
          <w:rFonts w:asciiTheme="minorHAnsi" w:hAnsiTheme="minorHAnsi"/>
          <w:iCs/>
          <w:color w:val="auto"/>
          <w:sz w:val="22"/>
          <w:szCs w:val="22"/>
        </w:rPr>
        <w:t>Podziałania 1.2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>.</w:t>
      </w:r>
      <w:r w:rsidR="00F20BE3">
        <w:rPr>
          <w:rFonts w:asciiTheme="minorHAnsi" w:hAnsiTheme="minorHAnsi"/>
          <w:iCs/>
          <w:color w:val="auto"/>
          <w:sz w:val="22"/>
          <w:szCs w:val="22"/>
        </w:rPr>
        <w:t>1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 xml:space="preserve">, </w:t>
      </w:r>
      <w:r w:rsidR="00F20BE3" w:rsidRPr="00F20BE3">
        <w:rPr>
          <w:rFonts w:asciiTheme="minorHAnsi" w:hAnsiTheme="minorHAnsi"/>
          <w:iCs/>
          <w:color w:val="auto"/>
          <w:sz w:val="22"/>
          <w:szCs w:val="22"/>
        </w:rPr>
        <w:t>Typ 1.</w:t>
      </w:r>
      <w:r w:rsidR="00B31933">
        <w:rPr>
          <w:rFonts w:asciiTheme="minorHAnsi" w:hAnsiTheme="minorHAnsi"/>
          <w:iCs/>
          <w:color w:val="auto"/>
          <w:sz w:val="22"/>
          <w:szCs w:val="22"/>
        </w:rPr>
        <w:t xml:space="preserve">2.Cb </w:t>
      </w:r>
      <w:r w:rsidRPr="00CC611C">
        <w:rPr>
          <w:rFonts w:asciiTheme="minorHAnsi" w:hAnsiTheme="minorHAnsi"/>
          <w:color w:val="auto"/>
          <w:sz w:val="22"/>
          <w:szCs w:val="22"/>
        </w:rPr>
        <w:t>przewidziano:</w:t>
      </w:r>
    </w:p>
    <w:p w14:paraId="24AB67A1" w14:textId="77777777" w:rsidR="00A03445" w:rsidRDefault="00A03445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57187D3F" w14:textId="254AED32" w:rsidR="00CC611C" w:rsidRPr="00CC611C" w:rsidRDefault="00A5440E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  <w:t xml:space="preserve">7 338 641,00 </w:t>
      </w:r>
      <w:r w:rsidR="000117F1" w:rsidRPr="000117F1"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  <w:t xml:space="preserve"> </w:t>
      </w:r>
      <w:r w:rsidR="00CC611C" w:rsidRPr="00CC611C">
        <w:rPr>
          <w:rFonts w:asciiTheme="minorHAnsi" w:eastAsia="Calibri" w:hAnsiTheme="minorHAnsi"/>
          <w:b/>
          <w:color w:val="auto"/>
          <w:sz w:val="22"/>
          <w:szCs w:val="22"/>
        </w:rPr>
        <w:t>EUR</w:t>
      </w:r>
      <w:bookmarkStart w:id="0" w:name="_GoBack"/>
      <w:bookmarkEnd w:id="0"/>
    </w:p>
    <w:p w14:paraId="7AFFF565" w14:textId="1782FDDD" w:rsidR="00CC611C" w:rsidRPr="00CC611C" w:rsidRDefault="00510E2D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510E2D">
        <w:rPr>
          <w:rFonts w:asciiTheme="minorHAnsi" w:hAnsiTheme="minorHAnsi"/>
          <w:color w:val="auto"/>
          <w:sz w:val="22"/>
          <w:szCs w:val="22"/>
        </w:rPr>
        <w:t xml:space="preserve">(PLN </w:t>
      </w:r>
      <w:r w:rsidR="00A5440E">
        <w:rPr>
          <w:rFonts w:asciiTheme="minorHAnsi" w:hAnsiTheme="minorHAnsi"/>
          <w:color w:val="auto"/>
          <w:sz w:val="22"/>
          <w:szCs w:val="22"/>
        </w:rPr>
        <w:t xml:space="preserve">34 463 725,86 </w:t>
      </w:r>
      <w:r w:rsidRPr="00510E2D">
        <w:rPr>
          <w:rFonts w:asciiTheme="minorHAnsi" w:hAnsiTheme="minorHAnsi"/>
          <w:color w:val="auto"/>
          <w:sz w:val="22"/>
          <w:szCs w:val="22"/>
        </w:rPr>
        <w:t xml:space="preserve"> *, kurs </w:t>
      </w:r>
      <w:r w:rsidR="00A5440E">
        <w:rPr>
          <w:rFonts w:asciiTheme="minorHAnsi" w:hAnsiTheme="minorHAnsi"/>
          <w:color w:val="auto"/>
          <w:sz w:val="22"/>
          <w:szCs w:val="22"/>
        </w:rPr>
        <w:t xml:space="preserve">4,6962 </w:t>
      </w:r>
      <w:r w:rsidRPr="00510E2D">
        <w:rPr>
          <w:rFonts w:asciiTheme="minorHAnsi" w:hAnsiTheme="minorHAnsi"/>
          <w:color w:val="auto"/>
          <w:sz w:val="22"/>
          <w:szCs w:val="22"/>
        </w:rPr>
        <w:t xml:space="preserve">  ** na </w:t>
      </w:r>
      <w:r w:rsidR="00A5440E">
        <w:rPr>
          <w:rFonts w:asciiTheme="minorHAnsi" w:hAnsiTheme="minorHAnsi"/>
          <w:color w:val="auto"/>
          <w:sz w:val="22"/>
          <w:szCs w:val="22"/>
        </w:rPr>
        <w:t xml:space="preserve">grudzień </w:t>
      </w:r>
      <w:r w:rsidRPr="00510E2D">
        <w:rPr>
          <w:rFonts w:asciiTheme="minorHAnsi" w:hAnsiTheme="minorHAnsi"/>
          <w:color w:val="auto"/>
          <w:sz w:val="22"/>
          <w:szCs w:val="22"/>
        </w:rPr>
        <w:t xml:space="preserve"> 2021 r.)</w:t>
      </w:r>
    </w:p>
    <w:p w14:paraId="53E38FB2" w14:textId="1751B96A" w:rsidR="00A03445" w:rsidRDefault="00A03445" w:rsidP="00EF2261">
      <w:pPr>
        <w:pStyle w:val="Default"/>
        <w:rPr>
          <w:rFonts w:ascii="Calibri" w:hAnsi="Calibri"/>
          <w:sz w:val="18"/>
          <w:szCs w:val="18"/>
        </w:rPr>
      </w:pPr>
      <w:r w:rsidRPr="00CD0351">
        <w:rPr>
          <w:rFonts w:ascii="Calibri" w:hAnsi="Calibri"/>
          <w:sz w:val="18"/>
          <w:szCs w:val="18"/>
        </w:rPr>
        <w:t xml:space="preserve">* </w:t>
      </w:r>
      <w:r>
        <w:rPr>
          <w:rFonts w:ascii="Calibri" w:hAnsi="Calibri"/>
          <w:sz w:val="18"/>
          <w:szCs w:val="18"/>
        </w:rPr>
        <w:t>W</w:t>
      </w:r>
      <w:r w:rsidRPr="00CD0351">
        <w:rPr>
          <w:rFonts w:ascii="Calibri" w:hAnsi="Calibri"/>
          <w:sz w:val="18"/>
          <w:szCs w:val="18"/>
        </w:rPr>
        <w:t xml:space="preserve"> tym </w:t>
      </w:r>
      <w:r w:rsidR="00E65007">
        <w:rPr>
          <w:rFonts w:ascii="Calibri" w:hAnsi="Calibri"/>
          <w:sz w:val="18"/>
          <w:szCs w:val="18"/>
        </w:rPr>
        <w:t xml:space="preserve">na procedurę odwoławczą </w:t>
      </w:r>
      <w:r w:rsidRPr="00CD0351">
        <w:rPr>
          <w:rFonts w:ascii="Calibri" w:hAnsi="Calibri"/>
          <w:sz w:val="18"/>
          <w:szCs w:val="18"/>
        </w:rPr>
        <w:t xml:space="preserve">zabezpiecza się </w:t>
      </w:r>
      <w:r w:rsidR="00E65007">
        <w:rPr>
          <w:rFonts w:ascii="Calibri" w:hAnsi="Calibri"/>
          <w:sz w:val="18"/>
          <w:szCs w:val="18"/>
        </w:rPr>
        <w:t xml:space="preserve">kwotę 340 000,00 EUR </w:t>
      </w:r>
      <w:r>
        <w:rPr>
          <w:rFonts w:ascii="Calibri" w:hAnsi="Calibri"/>
          <w:sz w:val="18"/>
          <w:szCs w:val="18"/>
        </w:rPr>
        <w:t xml:space="preserve">. </w:t>
      </w:r>
    </w:p>
    <w:p w14:paraId="5C0C8604" w14:textId="51CA68E1" w:rsidR="00A03445" w:rsidRPr="00491F43" w:rsidRDefault="00A03445" w:rsidP="00EF2261">
      <w:pPr>
        <w:pStyle w:val="Default"/>
        <w:rPr>
          <w:rFonts w:ascii="Calibri" w:hAnsi="Calibri"/>
          <w:color w:val="auto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</w:t>
      </w:r>
      <w:r w:rsidRPr="00CD0351">
        <w:rPr>
          <w:rFonts w:ascii="Calibri" w:hAnsi="Calibri"/>
          <w:color w:val="auto"/>
          <w:sz w:val="18"/>
          <w:szCs w:val="18"/>
        </w:rPr>
        <w:t>Alokacja przeliczona po kursie Europejskiego Banku Centralnego (EBC) obowiązującym w</w:t>
      </w:r>
      <w:r w:rsidR="00333FC6">
        <w:rPr>
          <w:rFonts w:ascii="Calibri" w:hAnsi="Calibri"/>
          <w:color w:val="auto"/>
          <w:sz w:val="18"/>
          <w:szCs w:val="18"/>
        </w:rPr>
        <w:t xml:space="preserve"> czerwcu</w:t>
      </w:r>
      <w:r w:rsidR="00F20BE3">
        <w:rPr>
          <w:rFonts w:ascii="Calibri" w:hAnsi="Calibri"/>
          <w:color w:val="auto"/>
          <w:sz w:val="18"/>
          <w:szCs w:val="18"/>
        </w:rPr>
        <w:t xml:space="preserve"> 202</w:t>
      </w:r>
      <w:r w:rsidR="00304DBF">
        <w:rPr>
          <w:rFonts w:ascii="Calibri" w:hAnsi="Calibri"/>
          <w:color w:val="auto"/>
          <w:sz w:val="18"/>
          <w:szCs w:val="18"/>
        </w:rPr>
        <w:t>1</w:t>
      </w:r>
      <w:r w:rsidR="00F20BE3">
        <w:rPr>
          <w:rFonts w:ascii="Calibri" w:hAnsi="Calibri"/>
          <w:color w:val="auto"/>
          <w:sz w:val="18"/>
          <w:szCs w:val="18"/>
        </w:rPr>
        <w:t xml:space="preserve"> r.</w:t>
      </w:r>
      <w:r w:rsidRPr="00CD0351">
        <w:rPr>
          <w:rFonts w:ascii="Calibri" w:hAnsi="Calibri"/>
          <w:color w:val="auto"/>
          <w:sz w:val="18"/>
          <w:szCs w:val="18"/>
        </w:rPr>
        <w:t xml:space="preserve"> Ze względu na kurs EUR limit dostępnych środków może ulec zmianie</w:t>
      </w:r>
      <w:r>
        <w:rPr>
          <w:rFonts w:ascii="Calibri" w:hAnsi="Calibri"/>
          <w:color w:val="auto"/>
          <w:sz w:val="18"/>
          <w:szCs w:val="18"/>
        </w:rPr>
        <w:t>, z</w:t>
      </w:r>
      <w:r w:rsidRPr="00CD0351">
        <w:rPr>
          <w:rFonts w:ascii="Calibri" w:hAnsi="Calibri"/>
          <w:color w:val="auto"/>
          <w:sz w:val="18"/>
          <w:szCs w:val="18"/>
        </w:rPr>
        <w:t xml:space="preserve"> tego powodu dokładna kwota dofinansowania zostanie określona na etapie rozstrzygnięcia konkursu.</w:t>
      </w:r>
    </w:p>
    <w:p w14:paraId="43727561" w14:textId="77777777" w:rsidR="006203E3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190DE893" w14:textId="77777777" w:rsidR="006203E3" w:rsidRPr="003D45F6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61B1F1EB" w14:textId="77777777" w:rsidR="00F2790E" w:rsidRPr="00DE1BFC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DE1BFC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029AADCD" w14:textId="77777777" w:rsidR="00436F1C" w:rsidRPr="003D45F6" w:rsidRDefault="00436F1C" w:rsidP="00304DBF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7D5ED929" w14:textId="77777777" w:rsidR="00333FC6" w:rsidRPr="00333FC6" w:rsidRDefault="00333FC6" w:rsidP="00333FC6">
      <w:pPr>
        <w:spacing w:before="120" w:after="120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33FC6">
        <w:rPr>
          <w:rFonts w:ascii="Calibri" w:eastAsia="Calibri" w:hAnsi="Calibri"/>
          <w:b/>
          <w:bCs/>
          <w:sz w:val="22"/>
          <w:szCs w:val="22"/>
          <w:lang w:eastAsia="en-US"/>
        </w:rPr>
        <w:t>Zgodnie z kryteriami wyboru i SZOOP RPO WD:</w:t>
      </w:r>
    </w:p>
    <w:p w14:paraId="3ABE027D" w14:textId="77777777" w:rsidR="00333FC6" w:rsidRPr="00333FC6" w:rsidRDefault="00333FC6" w:rsidP="00333FC6">
      <w:pPr>
        <w:spacing w:before="120" w:after="120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33FC6">
        <w:rPr>
          <w:rFonts w:ascii="Calibri" w:eastAsia="Calibri" w:hAnsi="Calibri"/>
          <w:b/>
          <w:bCs/>
          <w:sz w:val="22"/>
          <w:szCs w:val="22"/>
          <w:lang w:eastAsia="en-US"/>
        </w:rPr>
        <w:t>Maksymalna wartość wsparcia w formule bonu – dofinansowania usługi na rzecz MŚP – do 200 tys. PLN na jednego przedsiębiorcę.</w:t>
      </w:r>
    </w:p>
    <w:p w14:paraId="26725459" w14:textId="77777777" w:rsidR="00333FC6" w:rsidRDefault="00333FC6" w:rsidP="00304DBF">
      <w:pPr>
        <w:rPr>
          <w:rFonts w:ascii="Calibri" w:hAnsi="Calibri"/>
          <w:u w:val="single"/>
        </w:rPr>
      </w:pPr>
    </w:p>
    <w:p w14:paraId="4112B226" w14:textId="2B28F3FD" w:rsidR="00304DBF" w:rsidRPr="00510E2D" w:rsidRDefault="00304DBF" w:rsidP="00304DBF">
      <w:pPr>
        <w:rPr>
          <w:rFonts w:ascii="Calibri" w:hAnsi="Calibri"/>
          <w:sz w:val="22"/>
          <w:szCs w:val="22"/>
          <w:u w:val="single"/>
        </w:rPr>
      </w:pPr>
      <w:r w:rsidRPr="00510E2D">
        <w:rPr>
          <w:rFonts w:ascii="Calibri" w:hAnsi="Calibri"/>
          <w:sz w:val="22"/>
          <w:szCs w:val="22"/>
          <w:u w:val="single"/>
        </w:rPr>
        <w:t xml:space="preserve">Maksymalne wnioskowane dofinansowanie nie może przekroczyć równowartości alokacji przeznaczonej na konkurs, </w:t>
      </w:r>
      <w:r w:rsidR="00510E2D" w:rsidRPr="00510E2D">
        <w:rPr>
          <w:rFonts w:ascii="Calibri" w:hAnsi="Calibri"/>
          <w:sz w:val="22"/>
          <w:szCs w:val="22"/>
          <w:u w:val="single"/>
        </w:rPr>
        <w:t>pomniejszonej o kwotę</w:t>
      </w:r>
      <w:r w:rsidRPr="00510E2D">
        <w:rPr>
          <w:rFonts w:ascii="Calibri" w:hAnsi="Calibri"/>
          <w:sz w:val="22"/>
          <w:szCs w:val="22"/>
          <w:u w:val="single"/>
        </w:rPr>
        <w:t xml:space="preserve"> 15% alokacji </w:t>
      </w:r>
      <w:r w:rsidR="00510E2D" w:rsidRPr="00510E2D">
        <w:rPr>
          <w:rFonts w:ascii="Calibri" w:hAnsi="Calibri"/>
          <w:sz w:val="22"/>
          <w:szCs w:val="22"/>
          <w:u w:val="single"/>
        </w:rPr>
        <w:t xml:space="preserve">przeznaczoną </w:t>
      </w:r>
      <w:r w:rsidRPr="00510E2D">
        <w:rPr>
          <w:rFonts w:ascii="Calibri" w:hAnsi="Calibri"/>
          <w:sz w:val="22"/>
          <w:szCs w:val="22"/>
          <w:u w:val="single"/>
        </w:rPr>
        <w:t xml:space="preserve">na procedurę odwoławczą. </w:t>
      </w:r>
    </w:p>
    <w:p w14:paraId="5F46FADC" w14:textId="77777777" w:rsidR="00304DBF" w:rsidRDefault="00304DBF" w:rsidP="00304DBF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C8A7FF9" w14:textId="77777777" w:rsidR="006203E3" w:rsidRDefault="00436F1C" w:rsidP="00304DBF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55773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155773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155773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155773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6203E3">
        <w:rPr>
          <w:rFonts w:asciiTheme="minorHAnsi" w:hAnsiTheme="minorHAnsi" w:cs="Arial"/>
          <w:sz w:val="22"/>
          <w:szCs w:val="22"/>
        </w:rPr>
        <w:t>.</w:t>
      </w:r>
    </w:p>
    <w:p w14:paraId="4E1879D3" w14:textId="14249B94" w:rsidR="002D5143" w:rsidRPr="00155773" w:rsidRDefault="002D5143" w:rsidP="00304DBF">
      <w:pPr>
        <w:rPr>
          <w:rFonts w:asciiTheme="minorHAnsi" w:hAnsiTheme="minorHAnsi" w:cs="Arial"/>
          <w:sz w:val="22"/>
          <w:szCs w:val="22"/>
        </w:rPr>
      </w:pPr>
    </w:p>
    <w:p w14:paraId="4004B107" w14:textId="77777777" w:rsidR="00E023F8" w:rsidRPr="003D45F6" w:rsidRDefault="00E023F8" w:rsidP="00304DBF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0F083BA1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49E43A0C" w14:textId="77777777" w:rsidR="00F2790E" w:rsidRPr="003D45F6" w:rsidRDefault="00F2790E" w:rsidP="00304DBF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B4C82C3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>Maksymalny poziom dofinansowania projektu grantowego wynosi:</w:t>
      </w:r>
    </w:p>
    <w:p w14:paraId="31413C7F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2C01FA">
        <w:rPr>
          <w:rFonts w:ascii="Calibri" w:eastAsia="Calibri" w:hAnsi="Calibri"/>
          <w:b/>
          <w:sz w:val="22"/>
          <w:szCs w:val="22"/>
          <w:lang w:eastAsia="en-US"/>
        </w:rPr>
        <w:t>do 85% całkowitych wydatków kwalifikowalnych</w:t>
      </w:r>
    </w:p>
    <w:p w14:paraId="2EBA9CD2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2C01F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481EDF1C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>(z uwzględnieniem dopuszczalnych limitów kwalifikowalności wydatków dla projektów grantowych wynikających z zał. nr 7 do SZOOP).</w:t>
      </w:r>
    </w:p>
    <w:p w14:paraId="6361FF33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188330D" w14:textId="7EA10610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>Co najmniej 85% wydatków kwalifikowalnych w projekcie grantowym muszą stanowić wydatki przeznaczone na  granty i nie więcej niż 15% wydatków kwalifikowalnych muszą stanowić wydatki nieprzeznaczone na granty</w:t>
      </w:r>
      <w:r w:rsidR="0064375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211B464D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ABB4249" w14:textId="512AC60F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>W przypadku wystąpienia pomocy publicznej w części projektu obejmującej wydatki nie przeznaczone bezpośrednio na granty, dofinansowanie może być udzielane na podstawie rozporządzenia Ministra Infrastruktury i Rozwoju z dnia 19 marca 2015 r. w sprawie udzielania pomocy de minimis w ramach regionalnych programów operacyjnych na lata 2014-2020.  W tym przypadku wielkość dofinansowania może wynosić do 85% całkowitych wydatków kwalifikowalnych (z uwzględnieniem zasady dot. całkowitej kwoty pomocy de minimis przyznanej jednemu przedsiębiorstwu wynoszącej do 200</w:t>
      </w:r>
      <w:r w:rsidR="00105D9B">
        <w:rPr>
          <w:rFonts w:ascii="Calibri" w:eastAsia="Calibri" w:hAnsi="Calibri"/>
          <w:sz w:val="22"/>
          <w:szCs w:val="22"/>
          <w:lang w:eastAsia="en-US"/>
        </w:rPr>
        <w:t> </w:t>
      </w:r>
      <w:r w:rsidRPr="002C01FA">
        <w:rPr>
          <w:rFonts w:ascii="Calibri" w:eastAsia="Calibri" w:hAnsi="Calibri"/>
          <w:sz w:val="22"/>
          <w:szCs w:val="22"/>
          <w:lang w:eastAsia="en-US"/>
        </w:rPr>
        <w:t>000</w:t>
      </w:r>
      <w:r w:rsidR="00105D9B">
        <w:rPr>
          <w:rFonts w:ascii="Calibri" w:eastAsia="Calibri" w:hAnsi="Calibri"/>
          <w:sz w:val="22"/>
          <w:szCs w:val="22"/>
          <w:lang w:eastAsia="en-US"/>
        </w:rPr>
        <w:t xml:space="preserve"> zł</w:t>
      </w:r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 w okresie trzech lat podatkowych).</w:t>
      </w:r>
    </w:p>
    <w:p w14:paraId="2CEAE986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2FD79CFC" w14:textId="77777777" w:rsidR="003A2106" w:rsidRDefault="003A2106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B0D8EF3" w14:textId="27A99744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Wielkość, limity dofinansowania oraz podstawę prawną udzielenia grantu, każdorazowo określa umowa o powierzenie grantu zawierana pomiędzy </w:t>
      </w:r>
      <w:r w:rsidR="00952C7C">
        <w:rPr>
          <w:rFonts w:ascii="Calibri" w:eastAsia="Calibri" w:hAnsi="Calibri"/>
          <w:sz w:val="22"/>
          <w:szCs w:val="22"/>
          <w:lang w:eastAsia="en-US"/>
        </w:rPr>
        <w:t>g</w:t>
      </w:r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rantodawcą a </w:t>
      </w:r>
      <w:r w:rsidR="00952C7C">
        <w:rPr>
          <w:rFonts w:ascii="Calibri" w:eastAsia="Calibri" w:hAnsi="Calibri"/>
          <w:sz w:val="22"/>
          <w:szCs w:val="22"/>
          <w:lang w:eastAsia="en-US"/>
        </w:rPr>
        <w:t>g</w:t>
      </w:r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rantobiorcą. Umowa o powierzenie grantu podlega akceptacji DIP i musi być zgodna z wymogami zawartymi w </w:t>
      </w:r>
      <w:r w:rsidR="0064375E">
        <w:rPr>
          <w:rFonts w:ascii="Calibri" w:eastAsia="Calibri" w:hAnsi="Calibri"/>
          <w:sz w:val="22"/>
          <w:szCs w:val="22"/>
          <w:lang w:eastAsia="en-US"/>
        </w:rPr>
        <w:t>„</w:t>
      </w:r>
      <w:r w:rsidRPr="002C01FA">
        <w:rPr>
          <w:rFonts w:ascii="Calibri" w:eastAsia="Calibri" w:hAnsi="Calibri"/>
          <w:sz w:val="22"/>
          <w:szCs w:val="22"/>
          <w:lang w:eastAsia="en-US"/>
        </w:rPr>
        <w:t>Zaleceniach do realizacji projektów grantowych.</w:t>
      </w:r>
      <w:r w:rsidR="0064375E">
        <w:rPr>
          <w:rFonts w:ascii="Calibri" w:eastAsia="Calibri" w:hAnsi="Calibri"/>
          <w:sz w:val="22"/>
          <w:szCs w:val="22"/>
          <w:lang w:eastAsia="en-US"/>
        </w:rPr>
        <w:t>”</w:t>
      </w:r>
    </w:p>
    <w:p w14:paraId="6231CEE0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D63B6CE" w14:textId="1EE3D370" w:rsidR="00CC611C" w:rsidRDefault="002C01FA" w:rsidP="003A2106">
      <w:pPr>
        <w:spacing w:line="276" w:lineRule="auto"/>
        <w:contextualSpacing/>
        <w:rPr>
          <w:rFonts w:asciiTheme="minorHAnsi" w:hAnsiTheme="minorHAnsi"/>
          <w:bCs/>
          <w:sz w:val="22"/>
          <w:szCs w:val="22"/>
          <w:highlight w:val="yellow"/>
          <w:shd w:val="clear" w:color="auto" w:fill="FFFFFF" w:themeFill="background1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C01FA">
        <w:rPr>
          <w:rFonts w:ascii="Calibri" w:eastAsia="Calibri" w:hAnsi="Calibri"/>
          <w:bCs/>
          <w:sz w:val="22"/>
          <w:szCs w:val="22"/>
          <w:lang w:eastAsia="en-US"/>
        </w:rPr>
        <w:t xml:space="preserve">Szczegółowe informacje dot. wystąpienia pomocy publicznej w projektach grantowych zawarte są w   </w:t>
      </w:r>
      <w:bookmarkStart w:id="1" w:name="_Hlk73093078"/>
      <w:r w:rsidR="0064375E">
        <w:rPr>
          <w:rFonts w:ascii="Calibri" w:eastAsia="Calibri" w:hAnsi="Calibri"/>
          <w:bCs/>
          <w:sz w:val="22"/>
          <w:szCs w:val="22"/>
          <w:lang w:eastAsia="en-US"/>
        </w:rPr>
        <w:t>„</w:t>
      </w:r>
      <w:r w:rsidRPr="002C01FA">
        <w:rPr>
          <w:rFonts w:ascii="Calibri" w:eastAsia="Calibri" w:hAnsi="Calibri"/>
          <w:sz w:val="22"/>
          <w:szCs w:val="22"/>
          <w:lang w:eastAsia="en-US"/>
        </w:rPr>
        <w:t>Zaleceniach do realizacji projektów grantowych</w:t>
      </w:r>
      <w:bookmarkEnd w:id="1"/>
      <w:r w:rsidR="0064375E">
        <w:rPr>
          <w:rFonts w:ascii="Calibri" w:eastAsia="Calibri" w:hAnsi="Calibri"/>
          <w:sz w:val="22"/>
          <w:szCs w:val="22"/>
          <w:lang w:eastAsia="en-US"/>
        </w:rPr>
        <w:t>.”</w:t>
      </w:r>
    </w:p>
    <w:p w14:paraId="09C1BC27" w14:textId="77777777" w:rsidR="005E09A9" w:rsidRPr="00CC611C" w:rsidRDefault="005E09A9" w:rsidP="00EF2261">
      <w:pPr>
        <w:spacing w:before="120" w:after="120"/>
        <w:contextualSpacing/>
        <w:rPr>
          <w:rFonts w:asciiTheme="minorHAnsi" w:hAnsiTheme="minorHAnsi"/>
          <w:bCs/>
          <w:sz w:val="22"/>
          <w:szCs w:val="22"/>
          <w:highlight w:val="yellow"/>
          <w:shd w:val="clear" w:color="auto" w:fill="FFFFFF" w:themeFill="background1"/>
        </w:rPr>
      </w:pPr>
    </w:p>
    <w:p w14:paraId="560FB50C" w14:textId="77777777" w:rsidR="005E09A9" w:rsidRPr="0007282B" w:rsidRDefault="005E09A9" w:rsidP="00EF2261">
      <w:pPr>
        <w:snapToGrid w:val="0"/>
        <w:spacing w:line="276" w:lineRule="auto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7282B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UWAGA: </w:t>
      </w:r>
    </w:p>
    <w:p w14:paraId="25581085" w14:textId="347F0EDC" w:rsidR="000E748D" w:rsidRPr="000E748D" w:rsidRDefault="000E748D" w:rsidP="000E748D">
      <w:pPr>
        <w:spacing w:after="200" w:line="276" w:lineRule="auto"/>
        <w:contextualSpacing/>
        <w:rPr>
          <w:rFonts w:ascii="Calibri" w:hAnsi="Calibri"/>
          <w:sz w:val="22"/>
          <w:szCs w:val="22"/>
        </w:rPr>
      </w:pPr>
      <w:r w:rsidRPr="000E748D">
        <w:rPr>
          <w:rFonts w:ascii="Calibri" w:hAnsi="Calibri"/>
          <w:sz w:val="22"/>
          <w:szCs w:val="22"/>
        </w:rPr>
        <w:t xml:space="preserve">IZ RPO WD 2014-2020, mając na celu promowanie projektów grantowych, we wzorze umowy o dofinansowanie projektu grantowego (będącej załącznikiem do dokumentacji konkursowej) ułatwi </w:t>
      </w:r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 xml:space="preserve">rantodawcom pozyskiwanie środków na realizację projektów poprzez zwiększenie limitu udzielanej zaliczki w projekcie (co do zasady do 95% kwoty dofinansowania projektu). Zaliczka może być wypłacona </w:t>
      </w:r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 xml:space="preserve">rantodawcy w jednej lub kilku transzach. Pierwsza transza zaliczki wypłacana jest po zawarciu z IOK umowy o dofinansowanie projektu grantowego, na podstawie prawidłowo sporządzonego i zatwierdzonego przez IOK wniosku o zaliczkę. Każda kolejna – na podstawie prawidłowego i zatwierdzonego przez IOK wniosku o płatność po odpowiednim rozliczeniu poprzednich transz. W przypadku pierwszej transzy zaliczki </w:t>
      </w:r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 xml:space="preserve">rantodawca zobowiązany jest rozliczyć co najmniej 70% jej wysokości w </w:t>
      </w:r>
      <w:r w:rsidRPr="00510E2D">
        <w:rPr>
          <w:rFonts w:ascii="Calibri" w:hAnsi="Calibri"/>
          <w:sz w:val="22"/>
          <w:szCs w:val="22"/>
        </w:rPr>
        <w:t xml:space="preserve">terminie do 180 dni od dnia przekazania środków. W przypadku drugiej i kolejnych transz zaliczki – </w:t>
      </w:r>
      <w:r w:rsidR="00952C7C">
        <w:rPr>
          <w:rFonts w:ascii="Calibri" w:hAnsi="Calibri"/>
          <w:sz w:val="22"/>
          <w:szCs w:val="22"/>
        </w:rPr>
        <w:t>g</w:t>
      </w:r>
      <w:r w:rsidRPr="00510E2D">
        <w:rPr>
          <w:rFonts w:ascii="Calibri" w:hAnsi="Calibri"/>
          <w:sz w:val="22"/>
          <w:szCs w:val="22"/>
        </w:rPr>
        <w:t>rantodawca zobowiązany jest</w:t>
      </w:r>
      <w:r w:rsidRPr="000E748D">
        <w:rPr>
          <w:rFonts w:ascii="Calibri" w:hAnsi="Calibri"/>
          <w:sz w:val="22"/>
          <w:szCs w:val="22"/>
        </w:rPr>
        <w:t xml:space="preserve"> rozliczyć co najmniej 70% łącznej kwoty przekazanych wcześniej transz zaliczki w terminie do </w:t>
      </w:r>
      <w:r w:rsidR="00510E2D">
        <w:rPr>
          <w:rFonts w:ascii="Calibri" w:hAnsi="Calibri"/>
          <w:sz w:val="22"/>
          <w:szCs w:val="22"/>
        </w:rPr>
        <w:t>180</w:t>
      </w:r>
      <w:r w:rsidRPr="000E748D">
        <w:rPr>
          <w:rFonts w:ascii="Calibri" w:hAnsi="Calibri"/>
          <w:sz w:val="22"/>
          <w:szCs w:val="22"/>
        </w:rPr>
        <w:t xml:space="preserve"> dni od dnia przekazania ostatniej transzy zaliczki. Szczegółowe zapisy w zakresie rozliczania zaliczek zostaną określone przez IOK w umowie o dofinansowanie projektu grantowego. </w:t>
      </w:r>
    </w:p>
    <w:p w14:paraId="3E7E771D" w14:textId="2DF326A0" w:rsidR="000E748D" w:rsidRPr="000E748D" w:rsidRDefault="000E748D" w:rsidP="000E748D">
      <w:pPr>
        <w:spacing w:after="200" w:line="276" w:lineRule="auto"/>
        <w:contextualSpacing/>
        <w:rPr>
          <w:rFonts w:ascii="Calibri" w:hAnsi="Calibri"/>
          <w:sz w:val="22"/>
          <w:szCs w:val="22"/>
        </w:rPr>
      </w:pPr>
      <w:r w:rsidRPr="000E748D">
        <w:rPr>
          <w:rFonts w:ascii="Calibri" w:hAnsi="Calibri"/>
          <w:sz w:val="22"/>
          <w:szCs w:val="22"/>
        </w:rPr>
        <w:t xml:space="preserve">Należy przy tym mieć na uwadze, iż system ten został </w:t>
      </w:r>
      <w:r w:rsidRPr="000E748D">
        <w:rPr>
          <w:rFonts w:ascii="Calibri" w:hAnsi="Calibri"/>
          <w:b/>
          <w:sz w:val="22"/>
          <w:szCs w:val="22"/>
        </w:rPr>
        <w:t xml:space="preserve">wprowadzony </w:t>
      </w:r>
      <w:r w:rsidRPr="000E748D">
        <w:rPr>
          <w:rFonts w:ascii="Calibri" w:hAnsi="Calibri"/>
          <w:b/>
          <w:sz w:val="22"/>
          <w:szCs w:val="22"/>
          <w:u w:val="single"/>
        </w:rPr>
        <w:t xml:space="preserve">jedynie dla </w:t>
      </w:r>
      <w:r w:rsidR="00952C7C">
        <w:rPr>
          <w:rFonts w:ascii="Calibri" w:hAnsi="Calibri"/>
          <w:b/>
          <w:sz w:val="22"/>
          <w:szCs w:val="22"/>
          <w:u w:val="single"/>
        </w:rPr>
        <w:t>g</w:t>
      </w:r>
      <w:r w:rsidRPr="000E748D">
        <w:rPr>
          <w:rFonts w:ascii="Calibri" w:hAnsi="Calibri"/>
          <w:b/>
          <w:sz w:val="22"/>
          <w:szCs w:val="22"/>
          <w:u w:val="single"/>
        </w:rPr>
        <w:t xml:space="preserve">rantodawców i nie ma zastosowania w przypadku </w:t>
      </w:r>
      <w:r w:rsidR="00952C7C">
        <w:rPr>
          <w:rFonts w:ascii="Calibri" w:hAnsi="Calibri"/>
          <w:b/>
          <w:sz w:val="22"/>
          <w:szCs w:val="22"/>
          <w:u w:val="single"/>
        </w:rPr>
        <w:t>g</w:t>
      </w:r>
      <w:r w:rsidRPr="000E748D">
        <w:rPr>
          <w:rFonts w:ascii="Calibri" w:hAnsi="Calibri"/>
          <w:b/>
          <w:sz w:val="22"/>
          <w:szCs w:val="22"/>
          <w:u w:val="single"/>
        </w:rPr>
        <w:t>rantobiorców, wobec których stosuje się wsparcie w formie refundacji wydatków</w:t>
      </w:r>
      <w:r w:rsidRPr="000E748D">
        <w:rPr>
          <w:rFonts w:ascii="Calibri" w:hAnsi="Calibri"/>
          <w:sz w:val="22"/>
          <w:szCs w:val="22"/>
        </w:rPr>
        <w:t xml:space="preserve">. A zatem środki otrzymanej zaliczki mogą zostać przeznaczone na wypłatę grantu dopiero po potwierdzeniu przez </w:t>
      </w:r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 xml:space="preserve">rantodawcę, że </w:t>
      </w:r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 xml:space="preserve">rantobiorca poniósł w sposób prawidłowy wydatki, do których był zobligowany. </w:t>
      </w:r>
    </w:p>
    <w:p w14:paraId="012F45C5" w14:textId="77777777" w:rsidR="0037034D" w:rsidRPr="003D45F6" w:rsidRDefault="0037034D" w:rsidP="00304DBF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0B488C6D" w14:textId="5267C832" w:rsidR="00F2790E" w:rsidRPr="00C75DCD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4C081659" w14:textId="77777777"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22A24F07" w14:textId="1E41DF0D" w:rsidR="00C75DCD" w:rsidRPr="009647B1" w:rsidRDefault="00C75DCD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informacje na temat </w:t>
      </w:r>
      <w:r>
        <w:rPr>
          <w:rFonts w:asciiTheme="minorHAnsi" w:hAnsiTheme="minorHAnsi"/>
          <w:sz w:val="22"/>
          <w:szCs w:val="22"/>
        </w:rPr>
        <w:t xml:space="preserve">okresu kwalifikowalności wydatków </w:t>
      </w:r>
      <w:r w:rsidR="00952C7C">
        <w:rPr>
          <w:rFonts w:asciiTheme="minorHAnsi" w:hAnsiTheme="minorHAnsi"/>
          <w:sz w:val="22"/>
          <w:szCs w:val="22"/>
        </w:rPr>
        <w:t>g</w:t>
      </w:r>
      <w:r w:rsidR="00DE1BFC">
        <w:rPr>
          <w:rFonts w:asciiTheme="minorHAnsi" w:hAnsiTheme="minorHAnsi"/>
          <w:sz w:val="22"/>
          <w:szCs w:val="22"/>
        </w:rPr>
        <w:t xml:space="preserve">rantobiorcy i </w:t>
      </w:r>
      <w:r w:rsidR="00952C7C">
        <w:rPr>
          <w:rFonts w:asciiTheme="minorHAnsi" w:hAnsiTheme="minorHAnsi"/>
          <w:sz w:val="22"/>
          <w:szCs w:val="22"/>
        </w:rPr>
        <w:t>g</w:t>
      </w:r>
      <w:r w:rsidR="00DE1BFC">
        <w:rPr>
          <w:rFonts w:asciiTheme="minorHAnsi" w:hAnsiTheme="minorHAnsi"/>
          <w:sz w:val="22"/>
          <w:szCs w:val="22"/>
        </w:rPr>
        <w:t xml:space="preserve">rantodawcy </w:t>
      </w:r>
      <w:r w:rsidRPr="003D45F6">
        <w:rPr>
          <w:rFonts w:asciiTheme="minorHAnsi" w:hAnsiTheme="minorHAnsi"/>
          <w:sz w:val="22"/>
          <w:szCs w:val="22"/>
        </w:rPr>
        <w:t>znajdują się w Regulaminie Konkursu.</w:t>
      </w:r>
    </w:p>
    <w:p w14:paraId="3472D782" w14:textId="77777777"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793FDFDD" w14:textId="1620E66A" w:rsidR="00E023F8" w:rsidRPr="00B0439A" w:rsidRDefault="00923B2F" w:rsidP="00304DBF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CC611C">
        <w:rPr>
          <w:rFonts w:asciiTheme="minorHAnsi" w:hAnsiTheme="minorHAnsi"/>
          <w:b/>
          <w:sz w:val="22"/>
          <w:szCs w:val="22"/>
        </w:rPr>
        <w:t xml:space="preserve">do </w:t>
      </w:r>
      <w:r w:rsidR="00DE1BFC">
        <w:rPr>
          <w:rFonts w:asciiTheme="minorHAnsi" w:hAnsiTheme="minorHAnsi"/>
          <w:b/>
          <w:sz w:val="22"/>
          <w:szCs w:val="22"/>
        </w:rPr>
        <w:t>30 czerwca</w:t>
      </w:r>
      <w:r w:rsidR="00B15B24">
        <w:rPr>
          <w:rFonts w:asciiTheme="minorHAnsi" w:hAnsiTheme="minorHAnsi"/>
          <w:b/>
          <w:sz w:val="22"/>
          <w:szCs w:val="22"/>
        </w:rPr>
        <w:t xml:space="preserve"> 2023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27C1491" w14:textId="77777777" w:rsidR="00923B2F" w:rsidRPr="00B0439A" w:rsidRDefault="00923B2F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2AE04001" w14:textId="77777777" w:rsidR="00510E2D" w:rsidRPr="00510E2D" w:rsidRDefault="00510E2D" w:rsidP="00510E2D">
      <w:pPr>
        <w:spacing w:after="160" w:line="259" w:lineRule="auto"/>
        <w:rPr>
          <w:rFonts w:ascii="Calibri" w:eastAsia="Calibri" w:hAnsi="Calibri"/>
          <w:lang w:eastAsia="en-US"/>
        </w:rPr>
      </w:pPr>
      <w:r w:rsidRPr="00510E2D">
        <w:rPr>
          <w:rFonts w:ascii="Calibri" w:eastAsia="Calibri" w:hAnsi="Calibri"/>
          <w:sz w:val="22"/>
          <w:szCs w:val="22"/>
          <w:lang w:eastAsia="en-US"/>
        </w:rPr>
        <w:t xml:space="preserve">Wniosek końcowy o płatność należy złożyć w terminie do 60 dni od daty zakończenia realizacji projektu wskazanej w umowie o dofinansowanie, jednak nie później niż 30 czerwca 2023 roku. W przypadku, gdy data zakończenia realizacji projektu będzie określona na 30 czerwca 2023 roku, wniosek o płatność końcową należy złożyć w tym samym dniu. </w:t>
      </w:r>
    </w:p>
    <w:p w14:paraId="78042E37" w14:textId="77777777" w:rsidR="00510E2D" w:rsidRPr="00510E2D" w:rsidRDefault="00510E2D" w:rsidP="00510E2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10E2D">
        <w:rPr>
          <w:rFonts w:ascii="Calibri" w:eastAsia="Calibri" w:hAnsi="Calibri"/>
          <w:sz w:val="22"/>
          <w:szCs w:val="22"/>
          <w:lang w:eastAsia="en-US"/>
        </w:rPr>
        <w:t>W uzasadnionych przypadkach, z przyczyn niezależnych od beneficjenta – IOK może wyrazić zgodę na wydłużenie tego terminu złożenia ostatniego wniosku o płatność.</w:t>
      </w:r>
    </w:p>
    <w:p w14:paraId="1F481EE7" w14:textId="77777777" w:rsidR="00E023F8" w:rsidRPr="00B0439A" w:rsidRDefault="00E023F8" w:rsidP="00EF2261">
      <w:pPr>
        <w:tabs>
          <w:tab w:val="left" w:pos="3290"/>
        </w:tabs>
        <w:spacing w:line="252" w:lineRule="auto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14:paraId="33DDEF6C" w14:textId="77777777" w:rsidR="00260F26" w:rsidRPr="003D45F6" w:rsidRDefault="00260F26" w:rsidP="00304DBF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436C72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lastRenderedPageBreak/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24839AA8" w14:textId="77777777" w:rsidR="00F2790E" w:rsidRPr="003D45F6" w:rsidRDefault="00F2790E" w:rsidP="00304DBF">
      <w:pPr>
        <w:autoSpaceDE w:val="0"/>
        <w:ind w:left="284" w:firstLine="708"/>
        <w:contextualSpacing/>
        <w:rPr>
          <w:rFonts w:asciiTheme="minorHAnsi" w:hAnsiTheme="minorHAnsi"/>
          <w:sz w:val="22"/>
          <w:szCs w:val="22"/>
        </w:rPr>
      </w:pPr>
    </w:p>
    <w:p w14:paraId="7737E3D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Wnioskodawca wypełnia wniosek o dofinansowanie za pośrednictwem aplikacji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, dostępnej na stronie: https://snow-dip.dolnyslask.pl/ i przesyła do IOK w ramach niniejszego konkursu w terminie:</w:t>
      </w:r>
    </w:p>
    <w:p w14:paraId="47E90EC1" w14:textId="43C1ABB1" w:rsidR="00DE1BFC" w:rsidRDefault="00DE1BFC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E1B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od godz. 8:00 dnia 02.08.2021 r. </w:t>
      </w:r>
      <w:r w:rsidR="000728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  <w:r w:rsidRPr="00DE1B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godz. 15:00 dnia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DE1B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30.0</w:t>
      </w:r>
      <w:r w:rsidR="00510E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</w:t>
      </w:r>
      <w:r w:rsidRPr="00DE1B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.2021 r.</w:t>
      </w:r>
    </w:p>
    <w:p w14:paraId="1424C504" w14:textId="52E7D80E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Logowanie do Generatora Wniosków w celu wypełnienia i złożenia wniosku o dofinansowanie będzie możliwe w czasie trwania naboru wniosków. Aplikacja służy do przygotowania wniosku o dofinansowanie projektu realizowanego w ramach Regionalnego Programu Operacyjnego Województwa Dolnośląskiego 2014-2020. System umożliwia tworzenie, edycję oraz wydruk wniosków o dofinansowanie, a także zapewnia możliwość ich złożenia do właściwej instytucji.</w:t>
      </w:r>
    </w:p>
    <w:p w14:paraId="61A6E93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35248131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Wniosek powinien zostać złożony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wyłącznie za pośrednictwem aplikacji Generator Wniosków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 dofinansowanie EFRR</w:t>
      </w:r>
      <w:bookmarkEnd w:id="2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dostępnej na stronie: https://snow-dip.dolnyslask.pl/ we wskazanym w Regulaminie terminie. Wnioskodawca nie składa wersji papierowej wniosku o dofinansowanie na etapie aplikowania i oceny. 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Złożona do IOK wersja papierowa wniosku o dofinansowanie nie będzie podlegać ocenie. </w:t>
      </w:r>
    </w:p>
    <w:p w14:paraId="5B4ED19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nie wymaga podpisu elektronicznego (z wykorzystaniem ePUAP lub certyfikatu kwalifikowanego) wniosku o dofinansowanie złożonego w aplikacji Generator Wniosków o dofinansowanie EFRR.</w:t>
      </w:r>
    </w:p>
    <w:p w14:paraId="79CBF83A" w14:textId="77777777" w:rsidR="007B5188" w:rsidRPr="007B5188" w:rsidRDefault="007B5188" w:rsidP="00EF2261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Skany załączanych w aplikacji Generator Wniosków o dofinansowanie EFRR załączników będących kopiami dokumentów muszą być potwierdzone „za zgodność z oryginałem”:</w:t>
      </w:r>
    </w:p>
    <w:p w14:paraId="20FECFDE" w14:textId="77777777" w:rsidR="007B5188" w:rsidRPr="007B5188" w:rsidRDefault="007B5188" w:rsidP="00EF2261">
      <w:pPr>
        <w:pStyle w:val="Akapitzlist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t xml:space="preserve">przez osoby uprawnione do podpisania wniosku o dofinansowanie zgodnie z dokumentami statutowymi lub załączonym do wniosku pełnomocnictwem – jeżeli właścicielem dokumentu potwierdzanego „za zgodność” jest Wnioskodawca, lub </w:t>
      </w:r>
    </w:p>
    <w:p w14:paraId="6A7948CB" w14:textId="77777777" w:rsidR="007B5188" w:rsidRPr="007B5188" w:rsidRDefault="007B5188" w:rsidP="00EF2261">
      <w:pPr>
        <w:pStyle w:val="Akapitzlist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t>przez właściciela dokumentu potwierdzanego „za zgodność” niebędącego Wnioskodawcą – jeżeli właścicielem dokumentu potwierdzanego „za zgodność” jest podmiot inny niż Wnioskodawca np. Partner, podmiot realizujący projekt.</w:t>
      </w:r>
    </w:p>
    <w:p w14:paraId="49EA8915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W każdym przypadku, w którym jest mowa o kopii dokumentu potwierdzonej za zgodność z oryginałem, należy przez to rozumieć: </w:t>
      </w:r>
    </w:p>
    <w:p w14:paraId="4599D5B4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39A82385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026789F3" w14:textId="77777777" w:rsidR="007B5188" w:rsidRPr="007B5188" w:rsidRDefault="007B5188" w:rsidP="00304DBF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923E094" w14:textId="5CE2BDBE" w:rsidR="007B5188" w:rsidRPr="007B5188" w:rsidRDefault="00584E33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4E33">
        <w:rPr>
          <w:rFonts w:asciiTheme="minorHAnsi" w:hAnsiTheme="minorHAnsi" w:cstheme="minorHAnsi"/>
          <w:color w:val="000000" w:themeColor="text1"/>
          <w:sz w:val="22"/>
          <w:szCs w:val="22"/>
        </w:rPr>
        <w:t>Wnioski należy składać w języku polskim. Wnioski wypełnione w języku obcym (obowiązuje język polski), nie będą rozpatrywane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B5188"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506B7B8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Za datę wpływu wniosku o dofinansowanie do IOK uznaje się datę skutecznego złożenia wniosku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pośrednictwem aplikacji </w:t>
      </w:r>
      <w:bookmarkStart w:id="3" w:name="_Hlk35004252"/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bookmarkEnd w:id="3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6F2B9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9" w:history="1">
        <w:r w:rsidRPr="007B5188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maciej.syrek@dip.dolnyslask.pl</w:t>
        </w:r>
      </w:hyperlink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1E7D3C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Wnioski robocze w </w:t>
      </w:r>
      <w:bookmarkStart w:id="4" w:name="_Hlk35004756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aplikacji Generator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Wniosków o dofinansowanie EFRR </w:t>
      </w:r>
      <w:bookmarkEnd w:id="4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są uznawane za złożone nieskutecznie i nie podlegają ocenie.</w:t>
      </w:r>
    </w:p>
    <w:p w14:paraId="25B4AC00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 przypadku złożenia wniosku o dofinansowanie projektu w aplikacji Generator Wniosków o dofinansowanie EFRR po terminie wskazanym w Regulaminie i w ogłoszeniu o konkursie, wniosek pozostawia się bez rozpatrzenia.</w:t>
      </w:r>
    </w:p>
    <w:p w14:paraId="1F3737A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Złożenie wniosku o dofinansowanie w Generatorze Wniosków o dofinansowanie EFRR oznacza potwierdzenie zgodności wskazanej w nim treści, w szczególności oświadczeń zawartych w dokumencie (i załącznikach, które stanowią jego integralną część) ze stanem faktycznym.</w:t>
      </w:r>
    </w:p>
    <w:p w14:paraId="245E7EE6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IOK o odpowiedzialności karnej za składanie fałszywych zeznań</w:t>
      </w:r>
    </w:p>
    <w:p w14:paraId="5836FBB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Wnioskodawca ma możliwość wycofania wniosku o dofinansowanie podczas trwania konkursu oraz na każdym etapie jego oceny. Należy wówczas złożyć do IOK pismo z prośbą o 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>wycofanie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wniosku podpisane przez osobę uprawnioną (osoby uprawnione) do podejmowania decyzji w imieniu Wnioskodawcy.</w:t>
      </w:r>
    </w:p>
    <w:p w14:paraId="50649F1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zastrzega sobie możliwość wydłużenia terminu składania wniosków o dofinansowanie lub złożenia ich w innej formie niż wyżej opisana. Decyzja w powyższej kwestii zostanie przedstawiona w formie komunikatu we wszystkich miejscach, gdzie opublikowano ogłoszenie.</w:t>
      </w:r>
    </w:p>
    <w:p w14:paraId="3F37DA8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nie przewiduje możliwości skrócenia terminu składania wniosków o dofinansowanie.</w:t>
      </w:r>
    </w:p>
    <w:p w14:paraId="5CC6FDC0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składania wniosków określona w tym punkcie Regulaminu obowiązuje także przy składaniu każdej poprawionej wersji wniosku o dofinansowanie. </w:t>
      </w:r>
    </w:p>
    <w:p w14:paraId="59019BFF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DCA5909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 w:rsidRPr="007B5188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Forma i sposób komunikacji pomiędzy IOK i Wnioskodawcą:</w:t>
      </w:r>
    </w:p>
    <w:p w14:paraId="46C6681D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4495031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Wnioskodawca oświadcza, że zapoznał się z formą i sposobem komunikacji z IOK w trakcie trwania konkursu wskazanym w Regulaminie konkursu i jest świadomy skutków ich niezachowania (w tym niedochowania wyznaczonych przez IOK terminów), zgodnie z postanowieniami Regulaminu.  </w:t>
      </w:r>
    </w:p>
    <w:p w14:paraId="23A3778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512DFD9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lastRenderedPageBreak/>
        <w:t>Do postępowania w zakresie ubiegania się o dofinansowanie oraz udzielania dofinansowania nie stosuje się ustawy z dnia 14 czerwca 1960 r. – Kodeks postępowania administracyjnego, z wyjątkiem przepisów dotyczących wyłączenia pracowników organu i  sposobu obliczania terminów, chyba że ustawa wdrożeniowa stanowi inaczej.</w:t>
      </w:r>
    </w:p>
    <w:p w14:paraId="6C6576FE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0B92EDE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Na podstawie art. 41 ust. 2 pkt. 7b, art. 43 oraz art. 50 ustawy wdrożeniowej komunikacja między Wnioskodawcą a IOK będzie odbywała się elektronicznie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Systemu Naboru i Oceny Wniosków (zwany dalej SNOW)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poprzez Moduł „Wiadomości” w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Generatorze Wniosków o dofinansowanie EFRR (zwany dalej GWND)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, za wyjątkiem pisemnej informacji o zakończeniu oceny projektu. IOK zastrzega, że w przypadku wystąpienia problemów natury informatycznej zastępczo stosowana będzie komunikacja za pomocą pisma, o czym IOK poinformuje na stronie internetowej DIP </w:t>
      </w:r>
      <w:hyperlink r:id="rId10" w:history="1">
        <w:r w:rsidRPr="007B5188">
          <w:rPr>
            <w:rStyle w:val="Hipercze"/>
            <w:rFonts w:asciiTheme="minorHAnsi" w:hAnsiTheme="minorHAnsi"/>
            <w:color w:val="000000" w:themeColor="text1"/>
            <w:sz w:val="22"/>
            <w:szCs w:val="22"/>
          </w:rPr>
          <w:t>www.dip.dolnyslask.pl</w:t>
        </w:r>
      </w:hyperlink>
      <w:r w:rsidRPr="007B5188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1EBC911B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43176D69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>Forma złożenia wniosku o dofinansowanie projektu po poprawie na wezwanie IOK jest tożsama z formą złożenia pierwszej wersji wniosku.</w:t>
      </w:r>
    </w:p>
    <w:p w14:paraId="74CD1C40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7BC1AB8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Komunikacja elektroniczna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SNOW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będzie odbywała się w następujący sposób:</w:t>
      </w:r>
    </w:p>
    <w:p w14:paraId="4FDF1411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momencie wysłania przez IOK, na wskazane we wniosku adresy e-mailowe Wnioskodawcy (siedziby i do korespondencji), wysyłane będzie powiadomienie informujące o wpłynięciu nowej wiadomości do indywidualnej skrzynki odbiorczej w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GWND, na koncie użytkownika, z którego wysłany został wniosek do IOK;</w:t>
      </w:r>
    </w:p>
    <w:p w14:paraId="3C11B3E8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14:paraId="0E2F9C0F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14:paraId="53829795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terminy dla wezwań do uzupełnienia i/lub poprawy wniosku o dofinansowanie przekazane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SNOW zarówno w przypadku, gdy dotyczą one warunków formalnych, oczywistych omyłek oraz wezwań do uzupełnienia i/lub poprawy projektu w zakresie niespełnienia kryteriów wyboru projektów liczą się od dnia następującego po dniu ich wysłania.</w:t>
      </w:r>
    </w:p>
    <w:p w14:paraId="5E27013E" w14:textId="77777777" w:rsidR="00CA2C6C" w:rsidRDefault="00CA2C6C" w:rsidP="00EF2261">
      <w:pPr>
        <w:autoSpaceDE w:val="0"/>
        <w:autoSpaceDN w:val="0"/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53FE0871" w14:textId="77777777" w:rsidR="007B5188" w:rsidRPr="001B6731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1B6731">
        <w:rPr>
          <w:rFonts w:asciiTheme="minorHAnsi" w:hAnsiTheme="minorHAnsi"/>
          <w:b/>
          <w:bCs/>
          <w:color w:val="000000" w:themeColor="text1"/>
          <w:sz w:val="22"/>
          <w:szCs w:val="22"/>
        </w:rPr>
        <w:t>Żądanie potwierdzenia odbioru oraz automatyczne (w tym powtórne) powiadomienia nie zwalniają z obowiązku dotrzymania terminu wskazanego w wezwaniu, tj. liczonego od dnia następującego po dniu wysłania wezwania.</w:t>
      </w:r>
    </w:p>
    <w:p w14:paraId="5396C4A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5A03CA5B" w14:textId="77777777" w:rsidR="007B5188" w:rsidRPr="00CA2C6C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  <w:u w:val="single"/>
        </w:rPr>
      </w:pPr>
      <w:r w:rsidRPr="00CA2C6C">
        <w:rPr>
          <w:rFonts w:asciiTheme="minorHAnsi" w:hAnsiTheme="minorHAnsi"/>
          <w:bCs/>
          <w:color w:val="000000" w:themeColor="text1"/>
          <w:sz w:val="22"/>
          <w:szCs w:val="22"/>
          <w:u w:val="single"/>
        </w:rPr>
        <w:t xml:space="preserve">Wnioskodawca zobowiązuje się do odbioru korespondencji kierowanej do niego w ww. sposób. </w:t>
      </w:r>
    </w:p>
    <w:p w14:paraId="5E76F706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14EF8596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Nieprzestrzeganie wskazanej formy komunikacji (w szczególności, gdy Wnioskodawca nie odbierze przesłanego za pomocą SNOW wezwania) oznaczać będzie:</w:t>
      </w:r>
    </w:p>
    <w:p w14:paraId="43E48E41" w14:textId="77777777"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lastRenderedPageBreak/>
        <w:t>negatywną ocenę projektu w przypadku niespełnienia przez projekt kryteriów wyboru projektów;</w:t>
      </w:r>
    </w:p>
    <w:p w14:paraId="32322762" w14:textId="77777777"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pozostawienie wniosku o dofinansowanie bez rozpatrzenia w przypadku niespełnienia przez wniosek warunków formalnych i/lub niepoprawienia oczywistych omyłek.</w:t>
      </w:r>
    </w:p>
    <w:p w14:paraId="642DA2AD" w14:textId="77777777" w:rsidR="00F2790E" w:rsidRPr="003D45F6" w:rsidRDefault="00F2790E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5C6A81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14:paraId="712BE4CE" w14:textId="77777777"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F59A3D" w14:textId="77777777" w:rsidR="00440B2D" w:rsidRPr="003D45F6" w:rsidRDefault="00440B2D" w:rsidP="00EF2261">
      <w:pPr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14:paraId="582AE31C" w14:textId="77777777" w:rsidR="00440B2D" w:rsidRPr="003D45F6" w:rsidRDefault="00440B2D" w:rsidP="00304DBF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6BD7AE" w14:textId="243C08D5" w:rsidR="00F2790E" w:rsidRPr="009647B1" w:rsidRDefault="00487CF3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02CF1845" w14:textId="77777777" w:rsidR="00B341CE" w:rsidRPr="003D45F6" w:rsidRDefault="00B341CE" w:rsidP="00304DBF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5DE2C8D6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603F954E" w14:textId="77777777" w:rsidR="00F2790E" w:rsidRPr="003D45F6" w:rsidRDefault="00F2790E" w:rsidP="00EF226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024FC0D5" w14:textId="3C4729D1"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</w:t>
      </w:r>
      <w:r w:rsidR="00374542">
        <w:rPr>
          <w:rFonts w:ascii="Calibri" w:hAnsi="Calibri" w:cs="Calibri"/>
          <w:sz w:val="22"/>
          <w:szCs w:val="22"/>
        </w:rPr>
        <w:t>eniu procedury oceny formalnej</w:t>
      </w:r>
      <w:r w:rsidR="007B5188">
        <w:rPr>
          <w:rFonts w:ascii="Calibri" w:hAnsi="Calibri" w:cs="Calibri"/>
          <w:sz w:val="22"/>
          <w:szCs w:val="22"/>
        </w:rPr>
        <w:t xml:space="preserve"> i merytorycznej </w:t>
      </w:r>
      <w:r w:rsidR="00B15B24">
        <w:rPr>
          <w:rFonts w:ascii="Calibri" w:hAnsi="Calibri" w:cs="Calibri"/>
          <w:sz w:val="22"/>
          <w:szCs w:val="22"/>
        </w:rPr>
        <w:t xml:space="preserve">wszystkich </w:t>
      </w:r>
      <w:r w:rsidRPr="00547FC0">
        <w:rPr>
          <w:rFonts w:ascii="Calibri" w:hAnsi="Calibri" w:cs="Calibri"/>
          <w:sz w:val="22"/>
          <w:szCs w:val="22"/>
        </w:rPr>
        <w:t>wniosków o dofinansowanie.</w:t>
      </w:r>
    </w:p>
    <w:p w14:paraId="48A569A5" w14:textId="77777777" w:rsidR="00CD302B" w:rsidRPr="00547FC0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0CD2B69D" w14:textId="714A5A14"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Wyniki rozstrzygnięcia konkursu zostaną opublikowane na stronie internetowej DIP (</w:t>
      </w:r>
      <w:hyperlink r:id="rId11" w:history="1">
        <w:r w:rsidRPr="00B76AEE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 w:rsidR="007B5188">
        <w:rPr>
          <w:rFonts w:ascii="Calibri" w:hAnsi="Calibri" w:cs="Calibri"/>
          <w:sz w:val="22"/>
          <w:szCs w:val="22"/>
        </w:rPr>
        <w:t xml:space="preserve"> </w:t>
      </w:r>
      <w:r w:rsidRPr="00547FC0">
        <w:rPr>
          <w:rFonts w:ascii="Calibri" w:hAnsi="Calibri" w:cs="Calibri"/>
          <w:sz w:val="22"/>
          <w:szCs w:val="22"/>
        </w:rPr>
        <w:t>oraz na portalu Funduszy Europejskich (</w:t>
      </w:r>
      <w:hyperlink r:id="rId12" w:history="1">
        <w:r w:rsidRPr="00547FC0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 projektów, które uzyskały wymaganą liczbę punktów z wyróżnieniem projektów wybranych do dofinansowania. Każdy Wnioskodawca zostaje powiadomiony pisemnie o zakończeniu oceny jego projektu.</w:t>
      </w:r>
    </w:p>
    <w:p w14:paraId="0AB45D16" w14:textId="77777777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463C35F" w14:textId="2954A822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CA2C6C">
        <w:rPr>
          <w:rFonts w:asciiTheme="minorHAnsi" w:hAnsiTheme="minorHAnsi" w:cs="Calibri"/>
          <w:b/>
          <w:sz w:val="22"/>
          <w:szCs w:val="22"/>
        </w:rPr>
        <w:t>grudz</w:t>
      </w:r>
      <w:r w:rsidR="00CA2C6C" w:rsidRPr="00CA2C6C">
        <w:rPr>
          <w:rFonts w:asciiTheme="minorHAnsi" w:hAnsiTheme="minorHAnsi" w:cs="Calibri"/>
          <w:b/>
          <w:sz w:val="22"/>
          <w:szCs w:val="22"/>
        </w:rPr>
        <w:t>ień</w:t>
      </w:r>
      <w:r w:rsidR="00E6697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75DCD">
        <w:rPr>
          <w:rFonts w:asciiTheme="minorHAnsi" w:hAnsiTheme="minorHAnsi" w:cs="Calibri"/>
          <w:b/>
          <w:sz w:val="22"/>
          <w:szCs w:val="22"/>
        </w:rPr>
        <w:t>202</w:t>
      </w:r>
      <w:r w:rsidR="007B5188">
        <w:rPr>
          <w:rFonts w:asciiTheme="minorHAnsi" w:hAnsiTheme="minorHAnsi" w:cs="Calibri"/>
          <w:b/>
          <w:sz w:val="22"/>
          <w:szCs w:val="22"/>
        </w:rPr>
        <w:t>1</w:t>
      </w:r>
      <w:r w:rsidRPr="003D45F6">
        <w:rPr>
          <w:rFonts w:asciiTheme="minorHAnsi" w:hAnsiTheme="minorHAnsi" w:cs="Calibri"/>
          <w:b/>
          <w:sz w:val="22"/>
          <w:szCs w:val="22"/>
        </w:rPr>
        <w:t xml:space="preserve"> r.</w:t>
      </w:r>
    </w:p>
    <w:p w14:paraId="424AFE0F" w14:textId="77777777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A5B79BD" w14:textId="6961A22C" w:rsidR="004F16C2" w:rsidRPr="0019690B" w:rsidRDefault="00547FC0" w:rsidP="00EF2261">
      <w:pPr>
        <w:widowControl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konkursu nie będące skutkiem zmiany terminu naboru wniosków będą podawane do informacji w formie komunikatu zamieszczonego na stronie </w:t>
      </w:r>
      <w:hyperlink r:id="rId13" w:history="1">
        <w:r w:rsidR="00C07DA1" w:rsidRPr="00C07DA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</w:t>
      </w:r>
      <w:r w:rsid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zmiany przedmiotowego Ogłoszenia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B609829" w14:textId="77777777" w:rsidR="00F2790E" w:rsidRPr="003D45F6" w:rsidRDefault="00F2790E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63BA0B93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735AE675" w14:textId="77777777" w:rsidR="00F2790E" w:rsidRPr="003D45F6" w:rsidRDefault="00F2790E" w:rsidP="00EF226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1481177" w14:textId="77777777" w:rsidR="001F08F5" w:rsidRDefault="00FB7D49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14:paraId="62FEED83" w14:textId="77777777" w:rsidR="00A003F1" w:rsidRPr="003D45F6" w:rsidRDefault="00A003F1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B7AE40F" w14:textId="504B073D" w:rsidR="00F2790E" w:rsidRPr="003D45F6" w:rsidRDefault="00D85444" w:rsidP="00EF2261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048BBBC4" w14:textId="77777777" w:rsidR="00D85444" w:rsidRPr="003D45F6" w:rsidRDefault="00D85444" w:rsidP="00304DBF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FAEF709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7648143E" w14:textId="77777777" w:rsidR="00F2790E" w:rsidRPr="003D45F6" w:rsidRDefault="00F2790E" w:rsidP="00304DBF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554FA686" w14:textId="77777777" w:rsidR="00041996" w:rsidRPr="00041996" w:rsidRDefault="00182069" w:rsidP="00041996">
      <w:pPr>
        <w:spacing w:line="276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2A18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041996"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 1</w:t>
      </w:r>
    </w:p>
    <w:p w14:paraId="4E83DF13" w14:textId="68EB1487" w:rsidR="00041996" w:rsidRPr="00041996" w:rsidRDefault="00041996" w:rsidP="00041996">
      <w:pPr>
        <w:spacing w:line="276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Przedsiębiorstwa i innowacje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Działanie 1.2 Innowacyjne przedsiębiorstwa Poddziałanie 1.2.1 </w:t>
      </w:r>
    </w:p>
    <w:p w14:paraId="463D9804" w14:textId="471D6559" w:rsidR="00182069" w:rsidRPr="00EA6A3E" w:rsidRDefault="00041996" w:rsidP="00041996">
      <w:pPr>
        <w:spacing w:line="276" w:lineRule="auto"/>
        <w:rPr>
          <w:rStyle w:val="Hipercze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  <w:r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Innowacyjne przedsiębiorstwa – konkurs horyzontalny </w:t>
      </w:r>
      <w:r w:rsidR="007D0E0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Typ 1.2.C.b </w:t>
      </w:r>
      <w:r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Usługi dla przedsiębiorstw – „Bon na innowacje”</w:t>
      </w:r>
    </w:p>
    <w:p w14:paraId="43FDB748" w14:textId="77777777" w:rsidR="00F2790E" w:rsidRPr="003D45F6" w:rsidRDefault="00F2790E" w:rsidP="00304DBF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776D1939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lastRenderedPageBreak/>
        <w:t>Kontakt</w:t>
      </w:r>
    </w:p>
    <w:p w14:paraId="2F6D9845" w14:textId="77777777"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1A774C96" w14:textId="38BB26AD" w:rsidR="006F0510" w:rsidRPr="00E209F5" w:rsidRDefault="00FB7D49" w:rsidP="00EF2261">
      <w:pPr>
        <w:tabs>
          <w:tab w:val="left" w:pos="284"/>
        </w:tabs>
        <w:autoSpaceDE w:val="0"/>
        <w:spacing w:after="160"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2973F9">
        <w:rPr>
          <w:rFonts w:asciiTheme="minorHAnsi" w:eastAsiaTheme="minorHAnsi" w:hAnsiTheme="minorHAnsi" w:cs="Calibri"/>
          <w:sz w:val="22"/>
          <w:szCs w:val="22"/>
          <w:lang w:eastAsia="en-US"/>
        </w:rPr>
        <w:t>2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A2393C">
        <w:rPr>
          <w:rFonts w:asciiTheme="minorHAnsi" w:hAnsiTheme="minorHAnsi"/>
          <w:sz w:val="22"/>
          <w:szCs w:val="22"/>
        </w:rPr>
        <w:t>2</w:t>
      </w:r>
      <w:r w:rsidR="00E0786A">
        <w:rPr>
          <w:rFonts w:asciiTheme="minorHAnsi" w:hAnsiTheme="minorHAnsi"/>
          <w:sz w:val="22"/>
          <w:szCs w:val="22"/>
        </w:rPr>
        <w:t>.</w:t>
      </w:r>
      <w:r w:rsidR="007B5188">
        <w:rPr>
          <w:rFonts w:asciiTheme="minorHAnsi" w:hAnsiTheme="minorHAnsi"/>
          <w:sz w:val="22"/>
          <w:szCs w:val="22"/>
        </w:rPr>
        <w:t>1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="007B5188">
        <w:rPr>
          <w:rFonts w:asciiTheme="minorHAnsi" w:hAnsiTheme="minorHAnsi"/>
          <w:sz w:val="22"/>
          <w:szCs w:val="22"/>
        </w:rPr>
        <w:t>Typ</w:t>
      </w:r>
      <w:r w:rsidR="00C75DCD">
        <w:rPr>
          <w:rFonts w:asciiTheme="minorHAnsi" w:hAnsiTheme="minorHAnsi"/>
          <w:sz w:val="22"/>
          <w:szCs w:val="22"/>
        </w:rPr>
        <w:t xml:space="preserve">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1.</w:t>
      </w:r>
      <w:r w:rsidR="00A2393C">
        <w:rPr>
          <w:rFonts w:asciiTheme="minorHAnsi" w:eastAsiaTheme="minorHAnsi" w:hAnsiTheme="minorHAnsi" w:cs="Calibri"/>
          <w:sz w:val="22"/>
          <w:szCs w:val="22"/>
          <w:lang w:eastAsia="en-US"/>
        </w:rPr>
        <w:t>2 Cb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</w:t>
      </w:r>
      <w:r w:rsidR="00780A2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następującą instytucję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:</w:t>
      </w:r>
    </w:p>
    <w:p w14:paraId="6DC1CED6" w14:textId="6F27C16C"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3F28D85C" w14:textId="77777777"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1D011B90" w14:textId="6AD8B777" w:rsidR="006F0510" w:rsidRPr="008D5E2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4" w:history="1">
        <w:r w:rsidR="006F0510" w:rsidRPr="008D5E2D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4E8B2A7E" w14:textId="58206DF9" w:rsidR="006F0510" w:rsidRPr="00E209F5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7B5188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13</w:t>
      </w:r>
    </w:p>
    <w:p w14:paraId="6DE95CB8" w14:textId="14A86054" w:rsidR="006F0510" w:rsidRPr="00C75DC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14:paraId="1668D4E1" w14:textId="25E08FEF" w:rsidR="00A107C8" w:rsidRPr="009647B1" w:rsidRDefault="006F0510">
      <w:pPr>
        <w:autoSpaceDE w:val="0"/>
        <w:spacing w:after="160" w:line="276" w:lineRule="auto"/>
        <w:ind w:left="284"/>
        <w:contextualSpacing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sectPr w:rsidR="00A107C8" w:rsidRPr="009647B1" w:rsidSect="00332395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D65EA9" w16cid:durableId="247C43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F12A" w14:textId="77777777" w:rsidR="00D10BA6" w:rsidRDefault="00D10BA6" w:rsidP="00504733">
      <w:r>
        <w:separator/>
      </w:r>
    </w:p>
  </w:endnote>
  <w:endnote w:type="continuationSeparator" w:id="0">
    <w:p w14:paraId="02C2145D" w14:textId="77777777" w:rsidR="00D10BA6" w:rsidRDefault="00D10BA6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746009"/>
      <w:docPartObj>
        <w:docPartGallery w:val="Page Numbers (Bottom of Page)"/>
        <w:docPartUnique/>
      </w:docPartObj>
    </w:sdtPr>
    <w:sdtEndPr/>
    <w:sdtContent>
      <w:p w14:paraId="489735F1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6BFD480C" w14:textId="77777777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473">
          <w:rPr>
            <w:noProof/>
          </w:rPr>
          <w:t>4</w:t>
        </w:r>
        <w:r>
          <w:fldChar w:fldCharType="end"/>
        </w:r>
      </w:p>
    </w:sdtContent>
  </w:sdt>
  <w:p w14:paraId="6EC1EAF8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63A32" w14:textId="77777777" w:rsidR="00332395" w:rsidRPr="00C41932" w:rsidRDefault="000E6473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00892F0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3F9B543" wp14:editId="7DABAE6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379D0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14:paraId="4E04FEBF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9CC1" w14:textId="77777777" w:rsidR="00D10BA6" w:rsidRDefault="00D10BA6" w:rsidP="00504733">
      <w:r>
        <w:separator/>
      </w:r>
    </w:p>
  </w:footnote>
  <w:footnote w:type="continuationSeparator" w:id="0">
    <w:p w14:paraId="67A8DC1D" w14:textId="77777777" w:rsidR="00D10BA6" w:rsidRDefault="00D10BA6" w:rsidP="00504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CFE1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3615C360" wp14:editId="7BF4F93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1D8B239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1139F320" w14:textId="77777777" w:rsidR="00D51A96" w:rsidRDefault="000E6473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7730D1DD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 w15:restartNumberingAfterBreak="0">
    <w:nsid w:val="052E6DA9"/>
    <w:multiLevelType w:val="multilevel"/>
    <w:tmpl w:val="9306EB00"/>
    <w:styleLink w:val="WWNum1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50D9"/>
    <w:multiLevelType w:val="hybridMultilevel"/>
    <w:tmpl w:val="A164E1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1F5C"/>
    <w:multiLevelType w:val="hybridMultilevel"/>
    <w:tmpl w:val="8B3017F0"/>
    <w:lvl w:ilvl="0" w:tplc="04150011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6" w15:restartNumberingAfterBreak="0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D36C0"/>
    <w:multiLevelType w:val="hybridMultilevel"/>
    <w:tmpl w:val="A9DA9346"/>
    <w:lvl w:ilvl="0" w:tplc="4C361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13E9C"/>
    <w:multiLevelType w:val="hybridMultilevel"/>
    <w:tmpl w:val="5D5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A4882"/>
    <w:multiLevelType w:val="hybridMultilevel"/>
    <w:tmpl w:val="A08CC670"/>
    <w:lvl w:ilvl="0" w:tplc="04150017">
      <w:start w:val="1"/>
      <w:numFmt w:val="lowerLetter"/>
      <w:lvlText w:val="%1)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 w15:restartNumberingAfterBreak="0">
    <w:nsid w:val="19DE218E"/>
    <w:multiLevelType w:val="hybridMultilevel"/>
    <w:tmpl w:val="D8B415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AA1242"/>
    <w:multiLevelType w:val="hybridMultilevel"/>
    <w:tmpl w:val="37DC74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25F58"/>
    <w:multiLevelType w:val="multilevel"/>
    <w:tmpl w:val="1D0A727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26DB5CBB"/>
    <w:multiLevelType w:val="hybridMultilevel"/>
    <w:tmpl w:val="FB8CCD58"/>
    <w:lvl w:ilvl="0" w:tplc="22D24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B42031"/>
    <w:multiLevelType w:val="hybridMultilevel"/>
    <w:tmpl w:val="6FB864C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3EE5"/>
    <w:multiLevelType w:val="hybridMultilevel"/>
    <w:tmpl w:val="52F8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C1EF4"/>
    <w:multiLevelType w:val="hybridMultilevel"/>
    <w:tmpl w:val="2BDCDD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2712AEC"/>
    <w:multiLevelType w:val="hybridMultilevel"/>
    <w:tmpl w:val="C3C4C5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0F5947"/>
    <w:multiLevelType w:val="multilevel"/>
    <w:tmpl w:val="7E96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0C56855"/>
    <w:multiLevelType w:val="hybridMultilevel"/>
    <w:tmpl w:val="AEEC1608"/>
    <w:lvl w:ilvl="0" w:tplc="F3E07866">
      <w:start w:val="1"/>
      <w:numFmt w:val="bullet"/>
      <w:lvlText w:val="–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C6003E"/>
    <w:multiLevelType w:val="hybridMultilevel"/>
    <w:tmpl w:val="2F2C19FC"/>
    <w:lvl w:ilvl="0" w:tplc="3EEEBB28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5" w15:restartNumberingAfterBreak="0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E1EE8"/>
    <w:multiLevelType w:val="hybridMultilevel"/>
    <w:tmpl w:val="D3E0B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283E49"/>
    <w:multiLevelType w:val="hybridMultilevel"/>
    <w:tmpl w:val="4D9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9" w15:restartNumberingAfterBreak="0">
    <w:nsid w:val="6E19035A"/>
    <w:multiLevelType w:val="hybridMultilevel"/>
    <w:tmpl w:val="E514BDBE"/>
    <w:lvl w:ilvl="0" w:tplc="AE6E2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22D6F"/>
    <w:multiLevelType w:val="hybridMultilevel"/>
    <w:tmpl w:val="566A7B5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66ACC"/>
    <w:multiLevelType w:val="hybridMultilevel"/>
    <w:tmpl w:val="7916AB6E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43F6"/>
    <w:multiLevelType w:val="hybridMultilevel"/>
    <w:tmpl w:val="EC5ABF0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8"/>
  </w:num>
  <w:num w:numId="4">
    <w:abstractNumId w:val="15"/>
  </w:num>
  <w:num w:numId="5">
    <w:abstractNumId w:val="3"/>
  </w:num>
  <w:num w:numId="6">
    <w:abstractNumId w:val="2"/>
  </w:num>
  <w:num w:numId="7">
    <w:abstractNumId w:val="25"/>
  </w:num>
  <w:num w:numId="8">
    <w:abstractNumId w:val="12"/>
  </w:num>
  <w:num w:numId="9">
    <w:abstractNumId w:val="30"/>
  </w:num>
  <w:num w:numId="10">
    <w:abstractNumId w:val="20"/>
  </w:num>
  <w:num w:numId="11">
    <w:abstractNumId w:val="9"/>
  </w:num>
  <w:num w:numId="12">
    <w:abstractNumId w:val="13"/>
  </w:num>
  <w:num w:numId="13">
    <w:abstractNumId w:val="26"/>
  </w:num>
  <w:num w:numId="14">
    <w:abstractNumId w:val="17"/>
  </w:num>
  <w:num w:numId="15">
    <w:abstractNumId w:val="7"/>
  </w:num>
  <w:num w:numId="16">
    <w:abstractNumId w:val="34"/>
  </w:num>
  <w:num w:numId="17">
    <w:abstractNumId w:val="27"/>
  </w:num>
  <w:num w:numId="18">
    <w:abstractNumId w:val="21"/>
  </w:num>
  <w:num w:numId="19">
    <w:abstractNumId w:val="16"/>
  </w:num>
  <w:num w:numId="20">
    <w:abstractNumId w:val="1"/>
  </w:num>
  <w:num w:numId="21">
    <w:abstractNumId w:val="14"/>
  </w:num>
  <w:num w:numId="22">
    <w:abstractNumId w:val="10"/>
  </w:num>
  <w:num w:numId="23">
    <w:abstractNumId w:val="29"/>
  </w:num>
  <w:num w:numId="24">
    <w:abstractNumId w:val="2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8"/>
  </w:num>
  <w:num w:numId="28">
    <w:abstractNumId w:val="11"/>
  </w:num>
  <w:num w:numId="29">
    <w:abstractNumId w:val="31"/>
  </w:num>
  <w:num w:numId="30">
    <w:abstractNumId w:val="18"/>
  </w:num>
  <w:num w:numId="31">
    <w:abstractNumId w:val="24"/>
  </w:num>
  <w:num w:numId="32">
    <w:abstractNumId w:val="6"/>
  </w:num>
  <w:num w:numId="33">
    <w:abstractNumId w:val="5"/>
  </w:num>
  <w:num w:numId="34">
    <w:abstractNumId w:val="23"/>
  </w:num>
  <w:num w:numId="35">
    <w:abstractNumId w:val="32"/>
  </w:num>
  <w:num w:numId="3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24A3"/>
    <w:rsid w:val="000060AC"/>
    <w:rsid w:val="000117F1"/>
    <w:rsid w:val="00013392"/>
    <w:rsid w:val="0001520D"/>
    <w:rsid w:val="00016D59"/>
    <w:rsid w:val="00024134"/>
    <w:rsid w:val="0003085E"/>
    <w:rsid w:val="0003684A"/>
    <w:rsid w:val="00041996"/>
    <w:rsid w:val="00044365"/>
    <w:rsid w:val="000523F4"/>
    <w:rsid w:val="0005416D"/>
    <w:rsid w:val="00054C47"/>
    <w:rsid w:val="00066E69"/>
    <w:rsid w:val="0007282B"/>
    <w:rsid w:val="00076494"/>
    <w:rsid w:val="000809DE"/>
    <w:rsid w:val="0008346C"/>
    <w:rsid w:val="000834CD"/>
    <w:rsid w:val="00084B6A"/>
    <w:rsid w:val="0008748E"/>
    <w:rsid w:val="000A1E1A"/>
    <w:rsid w:val="000A326A"/>
    <w:rsid w:val="000D464F"/>
    <w:rsid w:val="000D689C"/>
    <w:rsid w:val="000E6473"/>
    <w:rsid w:val="000E748D"/>
    <w:rsid w:val="000F6DEC"/>
    <w:rsid w:val="000F73C9"/>
    <w:rsid w:val="0010179F"/>
    <w:rsid w:val="0010181A"/>
    <w:rsid w:val="00101A1C"/>
    <w:rsid w:val="00102195"/>
    <w:rsid w:val="0010229F"/>
    <w:rsid w:val="00105082"/>
    <w:rsid w:val="00105D9B"/>
    <w:rsid w:val="00112A18"/>
    <w:rsid w:val="00112FBE"/>
    <w:rsid w:val="00116604"/>
    <w:rsid w:val="00117BFA"/>
    <w:rsid w:val="00123D9A"/>
    <w:rsid w:val="00131E9F"/>
    <w:rsid w:val="00132AD7"/>
    <w:rsid w:val="00133BB6"/>
    <w:rsid w:val="001523E0"/>
    <w:rsid w:val="00152564"/>
    <w:rsid w:val="00153C30"/>
    <w:rsid w:val="001542EA"/>
    <w:rsid w:val="00155773"/>
    <w:rsid w:val="00160825"/>
    <w:rsid w:val="0016240D"/>
    <w:rsid w:val="0016385B"/>
    <w:rsid w:val="0017467E"/>
    <w:rsid w:val="00180C17"/>
    <w:rsid w:val="00182069"/>
    <w:rsid w:val="00182D48"/>
    <w:rsid w:val="00185F76"/>
    <w:rsid w:val="0019690B"/>
    <w:rsid w:val="001A0440"/>
    <w:rsid w:val="001B1FE8"/>
    <w:rsid w:val="001B4DC5"/>
    <w:rsid w:val="001B6731"/>
    <w:rsid w:val="001C38A5"/>
    <w:rsid w:val="001C40F3"/>
    <w:rsid w:val="001C499A"/>
    <w:rsid w:val="001C7CF8"/>
    <w:rsid w:val="001D2321"/>
    <w:rsid w:val="001D252F"/>
    <w:rsid w:val="001D3898"/>
    <w:rsid w:val="001D5E0D"/>
    <w:rsid w:val="001D6F01"/>
    <w:rsid w:val="001F08F5"/>
    <w:rsid w:val="001F4C80"/>
    <w:rsid w:val="00207781"/>
    <w:rsid w:val="0021410B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3E0D"/>
    <w:rsid w:val="00236B5E"/>
    <w:rsid w:val="0024009B"/>
    <w:rsid w:val="00247A2F"/>
    <w:rsid w:val="00251CF3"/>
    <w:rsid w:val="00257F57"/>
    <w:rsid w:val="00260F26"/>
    <w:rsid w:val="0026125D"/>
    <w:rsid w:val="00261D75"/>
    <w:rsid w:val="00262637"/>
    <w:rsid w:val="00262F2C"/>
    <w:rsid w:val="002644D7"/>
    <w:rsid w:val="00271DF3"/>
    <w:rsid w:val="00275B71"/>
    <w:rsid w:val="0028379C"/>
    <w:rsid w:val="00284F26"/>
    <w:rsid w:val="00286FD3"/>
    <w:rsid w:val="002876B4"/>
    <w:rsid w:val="00295232"/>
    <w:rsid w:val="002973F9"/>
    <w:rsid w:val="002A0E2C"/>
    <w:rsid w:val="002A317A"/>
    <w:rsid w:val="002A78EB"/>
    <w:rsid w:val="002B262C"/>
    <w:rsid w:val="002B3D05"/>
    <w:rsid w:val="002B6168"/>
    <w:rsid w:val="002C01FA"/>
    <w:rsid w:val="002C2705"/>
    <w:rsid w:val="002D3662"/>
    <w:rsid w:val="002D5143"/>
    <w:rsid w:val="002E3C8F"/>
    <w:rsid w:val="002E3D7F"/>
    <w:rsid w:val="002E61D6"/>
    <w:rsid w:val="002F18AC"/>
    <w:rsid w:val="00304DBF"/>
    <w:rsid w:val="00305CD6"/>
    <w:rsid w:val="00315295"/>
    <w:rsid w:val="00332395"/>
    <w:rsid w:val="00333C94"/>
    <w:rsid w:val="00333FC6"/>
    <w:rsid w:val="00337028"/>
    <w:rsid w:val="00340761"/>
    <w:rsid w:val="00343F7E"/>
    <w:rsid w:val="00345B72"/>
    <w:rsid w:val="00347447"/>
    <w:rsid w:val="003477AF"/>
    <w:rsid w:val="0035448D"/>
    <w:rsid w:val="00360D34"/>
    <w:rsid w:val="00360D9E"/>
    <w:rsid w:val="00362316"/>
    <w:rsid w:val="00364FDA"/>
    <w:rsid w:val="0036523A"/>
    <w:rsid w:val="00367301"/>
    <w:rsid w:val="0037034D"/>
    <w:rsid w:val="00371D52"/>
    <w:rsid w:val="00374542"/>
    <w:rsid w:val="00380F79"/>
    <w:rsid w:val="0038183E"/>
    <w:rsid w:val="003826BF"/>
    <w:rsid w:val="00385EAB"/>
    <w:rsid w:val="003A1089"/>
    <w:rsid w:val="003A1BF8"/>
    <w:rsid w:val="003A2106"/>
    <w:rsid w:val="003A4714"/>
    <w:rsid w:val="003B0A31"/>
    <w:rsid w:val="003B164B"/>
    <w:rsid w:val="003B5E3A"/>
    <w:rsid w:val="003B6F9D"/>
    <w:rsid w:val="003C0D92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3E7D9D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5389F"/>
    <w:rsid w:val="00467A3A"/>
    <w:rsid w:val="00467F33"/>
    <w:rsid w:val="00475439"/>
    <w:rsid w:val="004831AA"/>
    <w:rsid w:val="004871D1"/>
    <w:rsid w:val="00487CF3"/>
    <w:rsid w:val="004A07E5"/>
    <w:rsid w:val="004A3D74"/>
    <w:rsid w:val="004A546E"/>
    <w:rsid w:val="004B2E64"/>
    <w:rsid w:val="004B5E51"/>
    <w:rsid w:val="004D221E"/>
    <w:rsid w:val="004D66CB"/>
    <w:rsid w:val="004D78E4"/>
    <w:rsid w:val="004E0AA6"/>
    <w:rsid w:val="004E24FB"/>
    <w:rsid w:val="004E3C7C"/>
    <w:rsid w:val="004E79DC"/>
    <w:rsid w:val="004F16C2"/>
    <w:rsid w:val="00504733"/>
    <w:rsid w:val="005064E7"/>
    <w:rsid w:val="00507828"/>
    <w:rsid w:val="0051092B"/>
    <w:rsid w:val="00510E2D"/>
    <w:rsid w:val="00512385"/>
    <w:rsid w:val="00515CC9"/>
    <w:rsid w:val="00526943"/>
    <w:rsid w:val="00542F3E"/>
    <w:rsid w:val="00546ED5"/>
    <w:rsid w:val="00547E54"/>
    <w:rsid w:val="00547FC0"/>
    <w:rsid w:val="00556277"/>
    <w:rsid w:val="0056042C"/>
    <w:rsid w:val="00561D50"/>
    <w:rsid w:val="00576B47"/>
    <w:rsid w:val="00581737"/>
    <w:rsid w:val="00582676"/>
    <w:rsid w:val="00583E36"/>
    <w:rsid w:val="00584E33"/>
    <w:rsid w:val="0058526C"/>
    <w:rsid w:val="00587FB8"/>
    <w:rsid w:val="00590456"/>
    <w:rsid w:val="005A04DF"/>
    <w:rsid w:val="005A15D1"/>
    <w:rsid w:val="005B2FA0"/>
    <w:rsid w:val="005B30B5"/>
    <w:rsid w:val="005B4F38"/>
    <w:rsid w:val="005B63E2"/>
    <w:rsid w:val="005C14DC"/>
    <w:rsid w:val="005C2EB2"/>
    <w:rsid w:val="005C5C32"/>
    <w:rsid w:val="005D26D9"/>
    <w:rsid w:val="005E09A9"/>
    <w:rsid w:val="005E13D0"/>
    <w:rsid w:val="005E5134"/>
    <w:rsid w:val="005F0B4C"/>
    <w:rsid w:val="005F36A4"/>
    <w:rsid w:val="00612EFC"/>
    <w:rsid w:val="006203E3"/>
    <w:rsid w:val="00623559"/>
    <w:rsid w:val="006236C4"/>
    <w:rsid w:val="00623B2B"/>
    <w:rsid w:val="00630C48"/>
    <w:rsid w:val="00630CF0"/>
    <w:rsid w:val="006425F6"/>
    <w:rsid w:val="0064375E"/>
    <w:rsid w:val="006542EF"/>
    <w:rsid w:val="0066090C"/>
    <w:rsid w:val="00667288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22CDE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67CEA"/>
    <w:rsid w:val="0077075B"/>
    <w:rsid w:val="007717D5"/>
    <w:rsid w:val="0077232B"/>
    <w:rsid w:val="00780A2D"/>
    <w:rsid w:val="00781C56"/>
    <w:rsid w:val="00793877"/>
    <w:rsid w:val="007A0BD4"/>
    <w:rsid w:val="007A2B48"/>
    <w:rsid w:val="007A37AF"/>
    <w:rsid w:val="007B1C85"/>
    <w:rsid w:val="007B2B6D"/>
    <w:rsid w:val="007B5188"/>
    <w:rsid w:val="007C0811"/>
    <w:rsid w:val="007C476F"/>
    <w:rsid w:val="007C4C83"/>
    <w:rsid w:val="007D0E0A"/>
    <w:rsid w:val="007D1785"/>
    <w:rsid w:val="007D4992"/>
    <w:rsid w:val="007D53AB"/>
    <w:rsid w:val="007D555E"/>
    <w:rsid w:val="007F4E36"/>
    <w:rsid w:val="007F6B0E"/>
    <w:rsid w:val="00801E5A"/>
    <w:rsid w:val="00814DB5"/>
    <w:rsid w:val="008158B5"/>
    <w:rsid w:val="00815AFC"/>
    <w:rsid w:val="008171B8"/>
    <w:rsid w:val="0082431F"/>
    <w:rsid w:val="008265CB"/>
    <w:rsid w:val="00841F95"/>
    <w:rsid w:val="00846BA2"/>
    <w:rsid w:val="00852723"/>
    <w:rsid w:val="0086423F"/>
    <w:rsid w:val="008674FE"/>
    <w:rsid w:val="00867C94"/>
    <w:rsid w:val="00871BD7"/>
    <w:rsid w:val="00874D16"/>
    <w:rsid w:val="00874D7F"/>
    <w:rsid w:val="008750E3"/>
    <w:rsid w:val="00875C86"/>
    <w:rsid w:val="008817CC"/>
    <w:rsid w:val="00885371"/>
    <w:rsid w:val="00885D19"/>
    <w:rsid w:val="008A5F61"/>
    <w:rsid w:val="008B35F5"/>
    <w:rsid w:val="008C6141"/>
    <w:rsid w:val="008D03D2"/>
    <w:rsid w:val="008D23AC"/>
    <w:rsid w:val="008D29CF"/>
    <w:rsid w:val="008D33AC"/>
    <w:rsid w:val="008D5E2D"/>
    <w:rsid w:val="008E21A7"/>
    <w:rsid w:val="008E3F5A"/>
    <w:rsid w:val="008F4537"/>
    <w:rsid w:val="00900C7C"/>
    <w:rsid w:val="009031A9"/>
    <w:rsid w:val="009052F2"/>
    <w:rsid w:val="009063F5"/>
    <w:rsid w:val="0091348F"/>
    <w:rsid w:val="009201E8"/>
    <w:rsid w:val="0092281C"/>
    <w:rsid w:val="00922FAD"/>
    <w:rsid w:val="00923476"/>
    <w:rsid w:val="0092378A"/>
    <w:rsid w:val="00923B2F"/>
    <w:rsid w:val="009240DB"/>
    <w:rsid w:val="00932830"/>
    <w:rsid w:val="009411E0"/>
    <w:rsid w:val="0095183B"/>
    <w:rsid w:val="00951BE5"/>
    <w:rsid w:val="00952110"/>
    <w:rsid w:val="00952C7C"/>
    <w:rsid w:val="009626F7"/>
    <w:rsid w:val="009639CB"/>
    <w:rsid w:val="009647B1"/>
    <w:rsid w:val="00976E2A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B3DE8"/>
    <w:rsid w:val="009C3477"/>
    <w:rsid w:val="009C4473"/>
    <w:rsid w:val="009C5C20"/>
    <w:rsid w:val="009C7A6B"/>
    <w:rsid w:val="009D1A3F"/>
    <w:rsid w:val="009D2CCE"/>
    <w:rsid w:val="009D3A77"/>
    <w:rsid w:val="009D5422"/>
    <w:rsid w:val="009E11E5"/>
    <w:rsid w:val="009E4D7E"/>
    <w:rsid w:val="009E724E"/>
    <w:rsid w:val="009E7EBF"/>
    <w:rsid w:val="00A003F1"/>
    <w:rsid w:val="00A03445"/>
    <w:rsid w:val="00A07EC7"/>
    <w:rsid w:val="00A107C8"/>
    <w:rsid w:val="00A20D1D"/>
    <w:rsid w:val="00A21945"/>
    <w:rsid w:val="00A23448"/>
    <w:rsid w:val="00A2393C"/>
    <w:rsid w:val="00A26FC5"/>
    <w:rsid w:val="00A32E30"/>
    <w:rsid w:val="00A5440E"/>
    <w:rsid w:val="00A54547"/>
    <w:rsid w:val="00A54588"/>
    <w:rsid w:val="00A57A67"/>
    <w:rsid w:val="00A6044C"/>
    <w:rsid w:val="00A76E7A"/>
    <w:rsid w:val="00A937F0"/>
    <w:rsid w:val="00AA3244"/>
    <w:rsid w:val="00AA3C32"/>
    <w:rsid w:val="00AA6DE1"/>
    <w:rsid w:val="00AB0510"/>
    <w:rsid w:val="00AB57AD"/>
    <w:rsid w:val="00AC2A4E"/>
    <w:rsid w:val="00AC5327"/>
    <w:rsid w:val="00AE083C"/>
    <w:rsid w:val="00AE7B30"/>
    <w:rsid w:val="00AF1104"/>
    <w:rsid w:val="00AF279A"/>
    <w:rsid w:val="00AF46F1"/>
    <w:rsid w:val="00B023DF"/>
    <w:rsid w:val="00B0439A"/>
    <w:rsid w:val="00B07915"/>
    <w:rsid w:val="00B15B24"/>
    <w:rsid w:val="00B173B3"/>
    <w:rsid w:val="00B250B0"/>
    <w:rsid w:val="00B26D23"/>
    <w:rsid w:val="00B26E6E"/>
    <w:rsid w:val="00B31933"/>
    <w:rsid w:val="00B341CE"/>
    <w:rsid w:val="00B3579F"/>
    <w:rsid w:val="00B41D7C"/>
    <w:rsid w:val="00B44DBD"/>
    <w:rsid w:val="00B463E3"/>
    <w:rsid w:val="00B52E11"/>
    <w:rsid w:val="00B53822"/>
    <w:rsid w:val="00B57AD1"/>
    <w:rsid w:val="00B6654C"/>
    <w:rsid w:val="00B67828"/>
    <w:rsid w:val="00B7057E"/>
    <w:rsid w:val="00B72367"/>
    <w:rsid w:val="00B724D8"/>
    <w:rsid w:val="00B729D0"/>
    <w:rsid w:val="00B755AA"/>
    <w:rsid w:val="00B83CEB"/>
    <w:rsid w:val="00B84B12"/>
    <w:rsid w:val="00B923DE"/>
    <w:rsid w:val="00BA36C9"/>
    <w:rsid w:val="00BA46D4"/>
    <w:rsid w:val="00BB1B30"/>
    <w:rsid w:val="00BC07EA"/>
    <w:rsid w:val="00BC08E6"/>
    <w:rsid w:val="00BC17B6"/>
    <w:rsid w:val="00BC5870"/>
    <w:rsid w:val="00BC649F"/>
    <w:rsid w:val="00BD078A"/>
    <w:rsid w:val="00BD100D"/>
    <w:rsid w:val="00BD3AA7"/>
    <w:rsid w:val="00BE6346"/>
    <w:rsid w:val="00BF11CA"/>
    <w:rsid w:val="00BF17CD"/>
    <w:rsid w:val="00BF2DD8"/>
    <w:rsid w:val="00BF7AC6"/>
    <w:rsid w:val="00C01B6E"/>
    <w:rsid w:val="00C040EC"/>
    <w:rsid w:val="00C07DA1"/>
    <w:rsid w:val="00C109EB"/>
    <w:rsid w:val="00C12289"/>
    <w:rsid w:val="00C17C90"/>
    <w:rsid w:val="00C21D92"/>
    <w:rsid w:val="00C25781"/>
    <w:rsid w:val="00C32B63"/>
    <w:rsid w:val="00C332B3"/>
    <w:rsid w:val="00C35581"/>
    <w:rsid w:val="00C53D79"/>
    <w:rsid w:val="00C644E0"/>
    <w:rsid w:val="00C67277"/>
    <w:rsid w:val="00C70180"/>
    <w:rsid w:val="00C72F42"/>
    <w:rsid w:val="00C75CFF"/>
    <w:rsid w:val="00C75DCD"/>
    <w:rsid w:val="00C81D7E"/>
    <w:rsid w:val="00C82D4B"/>
    <w:rsid w:val="00C834A3"/>
    <w:rsid w:val="00C83945"/>
    <w:rsid w:val="00C8416B"/>
    <w:rsid w:val="00C8472C"/>
    <w:rsid w:val="00CA2C6C"/>
    <w:rsid w:val="00CA4B89"/>
    <w:rsid w:val="00CA7C36"/>
    <w:rsid w:val="00CB0320"/>
    <w:rsid w:val="00CB159F"/>
    <w:rsid w:val="00CB67B7"/>
    <w:rsid w:val="00CB6B4C"/>
    <w:rsid w:val="00CB7167"/>
    <w:rsid w:val="00CB7CC7"/>
    <w:rsid w:val="00CC00E6"/>
    <w:rsid w:val="00CC611C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10BA6"/>
    <w:rsid w:val="00D12458"/>
    <w:rsid w:val="00D13525"/>
    <w:rsid w:val="00D24D5F"/>
    <w:rsid w:val="00D3244D"/>
    <w:rsid w:val="00D35622"/>
    <w:rsid w:val="00D4253A"/>
    <w:rsid w:val="00D43546"/>
    <w:rsid w:val="00D46486"/>
    <w:rsid w:val="00D47A9E"/>
    <w:rsid w:val="00D5042B"/>
    <w:rsid w:val="00D51122"/>
    <w:rsid w:val="00D51A96"/>
    <w:rsid w:val="00D51D2F"/>
    <w:rsid w:val="00D5498F"/>
    <w:rsid w:val="00D5689B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7CE"/>
    <w:rsid w:val="00DB7B87"/>
    <w:rsid w:val="00DC32F2"/>
    <w:rsid w:val="00DC40CF"/>
    <w:rsid w:val="00DD25EC"/>
    <w:rsid w:val="00DE1BFC"/>
    <w:rsid w:val="00DF5814"/>
    <w:rsid w:val="00DF6C5D"/>
    <w:rsid w:val="00E01B96"/>
    <w:rsid w:val="00E023F8"/>
    <w:rsid w:val="00E02835"/>
    <w:rsid w:val="00E05256"/>
    <w:rsid w:val="00E0786A"/>
    <w:rsid w:val="00E10F82"/>
    <w:rsid w:val="00E131E3"/>
    <w:rsid w:val="00E1368E"/>
    <w:rsid w:val="00E20821"/>
    <w:rsid w:val="00E209F5"/>
    <w:rsid w:val="00E25284"/>
    <w:rsid w:val="00E26377"/>
    <w:rsid w:val="00E334DD"/>
    <w:rsid w:val="00E35EF8"/>
    <w:rsid w:val="00E372FC"/>
    <w:rsid w:val="00E40D85"/>
    <w:rsid w:val="00E52FD5"/>
    <w:rsid w:val="00E532FE"/>
    <w:rsid w:val="00E61E24"/>
    <w:rsid w:val="00E64746"/>
    <w:rsid w:val="00E65007"/>
    <w:rsid w:val="00E6583B"/>
    <w:rsid w:val="00E66978"/>
    <w:rsid w:val="00E76A60"/>
    <w:rsid w:val="00E91ACA"/>
    <w:rsid w:val="00EA1F02"/>
    <w:rsid w:val="00EA6A3E"/>
    <w:rsid w:val="00EA7824"/>
    <w:rsid w:val="00EA7F8E"/>
    <w:rsid w:val="00EB49E2"/>
    <w:rsid w:val="00EC4D43"/>
    <w:rsid w:val="00ED4DCE"/>
    <w:rsid w:val="00ED5CDD"/>
    <w:rsid w:val="00EE0F7F"/>
    <w:rsid w:val="00EF0D01"/>
    <w:rsid w:val="00EF2261"/>
    <w:rsid w:val="00EF3EC9"/>
    <w:rsid w:val="00EF7DE4"/>
    <w:rsid w:val="00F1283E"/>
    <w:rsid w:val="00F16337"/>
    <w:rsid w:val="00F20AC8"/>
    <w:rsid w:val="00F20BE3"/>
    <w:rsid w:val="00F21E39"/>
    <w:rsid w:val="00F26113"/>
    <w:rsid w:val="00F26DE6"/>
    <w:rsid w:val="00F2790E"/>
    <w:rsid w:val="00F40EF6"/>
    <w:rsid w:val="00F47ABA"/>
    <w:rsid w:val="00F52653"/>
    <w:rsid w:val="00F533B6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4061"/>
    <w:rsid w:val="00FB7172"/>
    <w:rsid w:val="00FB7D49"/>
    <w:rsid w:val="00FC1B68"/>
    <w:rsid w:val="00FC365A"/>
    <w:rsid w:val="00FD204A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  <w14:docId w14:val="28984E24"/>
  <w15:docId w15:val="{57FD82A0-0CFD-4A97-932B-0E77F078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numbering" w:customStyle="1" w:styleId="WWNum121">
    <w:name w:val="WWNum121"/>
    <w:basedOn w:val="Bezlisty"/>
    <w:rsid w:val="00CC611C"/>
    <w:pPr>
      <w:numPr>
        <w:numId w:val="20"/>
      </w:numPr>
    </w:pPr>
  </w:style>
  <w:style w:type="numbering" w:customStyle="1" w:styleId="WWNum16">
    <w:name w:val="WWNum16"/>
    <w:basedOn w:val="Bezlisty"/>
    <w:rsid w:val="00CC611C"/>
    <w:pPr>
      <w:numPr>
        <w:numId w:val="21"/>
      </w:numPr>
    </w:pPr>
  </w:style>
  <w:style w:type="numbering" w:customStyle="1" w:styleId="WWNum1211">
    <w:name w:val="WWNum1211"/>
    <w:basedOn w:val="Bezlisty"/>
    <w:rsid w:val="00C07DA1"/>
  </w:style>
  <w:style w:type="numbering" w:customStyle="1" w:styleId="WWNum161">
    <w:name w:val="WWNum161"/>
    <w:basedOn w:val="Bezlisty"/>
    <w:rsid w:val="00C0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/o-programie/zapoznaj-sie-z-prawem-i-dokumentami.html" TargetMode="External"/><Relationship Id="rId13" Type="http://schemas.openxmlformats.org/officeDocument/2006/relationships/hyperlink" Target="http://www.dip.dolnyslask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p.dolnyslask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ip.dolnyslask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ciej.syrek@dip.dolnyslask.pl" TargetMode="External"/><Relationship Id="rId14" Type="http://schemas.openxmlformats.org/officeDocument/2006/relationships/hyperlink" Target="mailto:info.dip@umwd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E66C-97AF-4D91-AE33-3CBED16F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3647</Words>
  <Characters>21885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9</cp:revision>
  <cp:lastPrinted>2021-06-23T06:29:00Z</cp:lastPrinted>
  <dcterms:created xsi:type="dcterms:W3CDTF">2021-06-22T12:49:00Z</dcterms:created>
  <dcterms:modified xsi:type="dcterms:W3CDTF">2021-12-16T06:45:00Z</dcterms:modified>
</cp:coreProperties>
</file>