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9F3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4B7D4B08" wp14:editId="20B44561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3272B" w14:textId="77777777" w:rsidR="002F04DB" w:rsidRDefault="002F04DB" w:rsidP="002F04DB">
      <w:pPr>
        <w:widowControl w:val="0"/>
        <w:autoSpaceDE w:val="0"/>
        <w:autoSpaceDN w:val="0"/>
        <w:adjustRightInd w:val="0"/>
        <w:spacing w:after="0" w:line="360" w:lineRule="auto"/>
        <w:jc w:val="center"/>
      </w:pPr>
      <w:r>
        <w:t xml:space="preserve">Załącznik nr </w:t>
      </w:r>
      <w:r>
        <w:rPr>
          <w:rFonts w:cs="Arial"/>
          <w:lang w:eastAsia="en-US"/>
        </w:rPr>
        <w:t>8 DO UMOWY O DOFINANSOWANIE PROJEKTU W RAMACH REGIONALNEGO PROGRAMU OPERACYJNEGO WOJEWÓDZTWA DOLNOŚLĄSKIEGO</w:t>
      </w:r>
      <w:r>
        <w:t xml:space="preserve"> 2014</w:t>
      </w:r>
      <w:r>
        <w:rPr>
          <w:rFonts w:cs="Arial"/>
          <w:lang w:eastAsia="en-US"/>
        </w:rPr>
        <w:t xml:space="preserve"> – </w:t>
      </w:r>
      <w:r>
        <w:t>2020</w:t>
      </w:r>
      <w:r>
        <w:rPr>
          <w:rFonts w:cs="Arial"/>
          <w:sz w:val="20"/>
          <w:szCs w:val="20"/>
          <w:lang w:eastAsia="en-US"/>
        </w:rPr>
        <w:t xml:space="preserve"> </w:t>
      </w:r>
    </w:p>
    <w:p w14:paraId="32B4923F" w14:textId="77777777" w:rsidR="00B71741" w:rsidRPr="009F303C" w:rsidRDefault="00B71741" w:rsidP="003A46BC">
      <w:pPr>
        <w:rPr>
          <w:rFonts w:cs="Arial"/>
          <w:sz w:val="24"/>
          <w:szCs w:val="20"/>
          <w:lang w:eastAsia="en-US"/>
        </w:rPr>
      </w:pPr>
    </w:p>
    <w:p w14:paraId="545B52DA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4E86587A" w14:textId="77777777" w:rsidR="00BA376B" w:rsidRPr="00DD0783" w:rsidRDefault="00BA376B" w:rsidP="00C10F6C">
      <w:pPr>
        <w:spacing w:line="240" w:lineRule="auto"/>
        <w:jc w:val="both"/>
      </w:pPr>
    </w:p>
    <w:p w14:paraId="12FD0DA6" w14:textId="77777777" w:rsidR="00BA376B" w:rsidRPr="00DD0783" w:rsidRDefault="00BA376B" w:rsidP="00C10F6C">
      <w:pPr>
        <w:spacing w:line="240" w:lineRule="auto"/>
        <w:jc w:val="both"/>
      </w:pPr>
    </w:p>
    <w:p w14:paraId="11015E2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  <w:bookmarkStart w:id="0" w:name="_GoBack"/>
      <w:bookmarkEnd w:id="0"/>
    </w:p>
    <w:p w14:paraId="7C864852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691748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530AA9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70E8375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14:paraId="12D5F65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5587BD1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1E92BF58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7EC3523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635A0C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7265F74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CCCBB8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5432EB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5D64FCCC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06430CC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554E12F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F3B9F46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1D5A03B8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214D61A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30A89CF6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proofErr w:type="spellStart"/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B16685">
        <w:rPr>
          <w:rFonts w:asciiTheme="minorHAnsi" w:hAnsiTheme="minorHAnsi"/>
          <w:b/>
          <w:bCs/>
          <w:sz w:val="22"/>
          <w:szCs w:val="22"/>
        </w:rPr>
        <w:t>F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</w:t>
      </w:r>
      <w:r w:rsidR="00B16685">
        <w:rPr>
          <w:rFonts w:asciiTheme="minorHAnsi" w:hAnsiTheme="minorHAnsi"/>
          <w:b/>
          <w:bCs/>
          <w:sz w:val="22"/>
          <w:szCs w:val="22"/>
        </w:rPr>
        <w:t>P</w:t>
      </w:r>
      <w:r w:rsidRPr="009A5E66">
        <w:rPr>
          <w:rFonts w:asciiTheme="minorHAnsi" w:hAnsiTheme="minorHAnsi"/>
          <w:b/>
          <w:bCs/>
          <w:sz w:val="22"/>
          <w:szCs w:val="22"/>
        </w:rPr>
        <w:t>R</w:t>
      </w:r>
      <w:proofErr w:type="spellEnd"/>
      <w:r w:rsidRPr="009A5E6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B16685">
        <w:rPr>
          <w:rFonts w:asciiTheme="minorHAnsi" w:hAnsiTheme="minorHAnsi"/>
          <w:sz w:val="22"/>
          <w:szCs w:val="22"/>
        </w:rPr>
        <w:t xml:space="preserve">Funduszy i Polityki Regionalnej 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4F9A59EA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6F7849F6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74BA480B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296ABA92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7E842E27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2FEB9A6F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C906F5C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4C0D10DC" w14:textId="77777777"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</w:t>
      </w:r>
      <w:proofErr w:type="spellStart"/>
      <w:r w:rsidR="00CA76E6">
        <w:t>Euratom</w:t>
      </w:r>
      <w:proofErr w:type="spellEnd"/>
      <w:r w:rsidR="00CA76E6">
        <w:t xml:space="preserve">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</w:t>
      </w:r>
      <w:proofErr w:type="spellStart"/>
      <w:r w:rsidR="00CA76E6">
        <w:t>Euratom</w:t>
      </w:r>
      <w:proofErr w:type="spellEnd"/>
      <w:r w:rsidR="00CA76E6">
        <w:t xml:space="preserve">) nr 966/2012 (Dz. Urz. UE L 193 z 30.07.2018, str. 222), </w:t>
      </w:r>
    </w:p>
    <w:p w14:paraId="2C4CAC41" w14:textId="77777777"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</w:t>
      </w:r>
      <w:proofErr w:type="spellStart"/>
      <w:r w:rsidR="000906B8" w:rsidRPr="00DD0783">
        <w:t>późn</w:t>
      </w:r>
      <w:proofErr w:type="spellEnd"/>
      <w:r w:rsidR="000906B8" w:rsidRPr="00DD0783">
        <w:t>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1478F569" w14:textId="77777777"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14:paraId="7F6B6EAB" w14:textId="77777777" w:rsidR="000906B8" w:rsidRPr="00DD0783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>) 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14:paraId="578198CB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1CF9B8F" w14:textId="77777777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</w:t>
      </w:r>
      <w:r w:rsidR="003F6BB8" w:rsidRPr="00C40B9D">
        <w:rPr>
          <w:b/>
        </w:rPr>
        <w:t>Finansów</w:t>
      </w:r>
      <w:r w:rsidR="004F3C6C">
        <w:rPr>
          <w:b/>
        </w:rPr>
        <w:t>, Funduszy i Polityki Regionalnej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</w:t>
      </w:r>
      <w:proofErr w:type="spellStart"/>
      <w:r w:rsidRPr="00C40B9D">
        <w:rPr>
          <w:b/>
        </w:rPr>
        <w:t>niekwalifikowalność</w:t>
      </w:r>
      <w:proofErr w:type="spellEnd"/>
      <w:r w:rsidRPr="00C40B9D">
        <w:rPr>
          <w:b/>
        </w:rPr>
        <w:t xml:space="preserve"> w zakresie </w:t>
      </w:r>
      <w:r w:rsidRPr="00C40B9D">
        <w:rPr>
          <w:b/>
        </w:rPr>
        <w:lastRenderedPageBreak/>
        <w:t xml:space="preserve">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348F816F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06559EB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B3730A3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14:paraId="1F51B3C3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1C69F9D6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="00B21109" w:rsidRPr="00DD0783">
        <w:rPr>
          <w:rFonts w:asciiTheme="minorHAnsi" w:hAnsiTheme="minorHAnsi"/>
          <w:sz w:val="22"/>
          <w:szCs w:val="22"/>
        </w:rPr>
        <w:t>późn</w:t>
      </w:r>
      <w:proofErr w:type="spellEnd"/>
      <w:r w:rsidR="00B21109" w:rsidRPr="00DD0783">
        <w:rPr>
          <w:rFonts w:asciiTheme="minorHAnsi" w:hAnsiTheme="minorHAnsi"/>
          <w:sz w:val="22"/>
          <w:szCs w:val="22"/>
        </w:rPr>
        <w:t>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28A250D9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60460F5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210885D3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14:paraId="5F02BC01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3F0BE3"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86480A" w:rsidRPr="009F303C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06F34FBA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F46527C" w14:textId="77777777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6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6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07D73691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6551225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8A5FB7E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42ADF9C0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7530096" w14:textId="77777777"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364A390F" w14:textId="77777777" w:rsidR="00122E9E" w:rsidRPr="00DD0783" w:rsidRDefault="005953E3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4F19B4">
        <w:t xml:space="preserve">W przypadku projektów  dotyczących inwestycji skierowanych na poprawę sytuacji epidemiologicznej w związku z </w:t>
      </w:r>
      <w:proofErr w:type="spellStart"/>
      <w:r w:rsidRPr="004F19B4">
        <w:t>koronawirusem</w:t>
      </w:r>
      <w:proofErr w:type="spellEnd"/>
      <w:r w:rsidRPr="004F19B4">
        <w:t xml:space="preserve">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 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</w:p>
    <w:p w14:paraId="587BC1A0" w14:textId="77777777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1EBFF46A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45103F74" w14:textId="77777777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1B5F20C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6563"/>
      </w:tblGrid>
      <w:tr w:rsidR="00A23F33" w:rsidRPr="00DD0783" w14:paraId="4B45735E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B7951C1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68421C5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2E2DE3E" w14:textId="77777777" w:rsidTr="009A053B">
        <w:tc>
          <w:tcPr>
            <w:tcW w:w="1438" w:type="pct"/>
            <w:shd w:val="clear" w:color="auto" w:fill="99CCFF"/>
            <w:vAlign w:val="center"/>
          </w:tcPr>
          <w:p w14:paraId="4267C77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225C3D22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47A2027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2D45632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Reguła ta nie ma zastosowania w przypadku Działania 1.4 </w:t>
            </w:r>
            <w:r w:rsidRPr="00DD0783">
              <w:lastRenderedPageBreak/>
              <w:t>Internacjonalizacja przedsiębiorstw – projekty, których celem jest promocja, Działania 4.1 Gospodarka odpadami oraz Działania 5.2 System transportu kolejowego, zasady realizacji których zapisano bezpośrednio w RPO WD 2014-2020</w:t>
            </w:r>
            <w:r w:rsidR="008A024B">
              <w:t>, oraz w przypadku projektów pozakonkursowych w Osi Priorytetowej 1 Przedsiębiorstwa i innowacje</w:t>
            </w:r>
            <w:r w:rsidRPr="00DD0783">
              <w:t>.</w:t>
            </w:r>
          </w:p>
          <w:p w14:paraId="59F9936D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5699A8A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</w:t>
            </w:r>
            <w:r w:rsidR="008A024B">
              <w:t>, oraz w przypadku projektów pozakonkursowych w Osi Priorytetowej 1 Przedsiębiorstwa i innowacje</w:t>
            </w:r>
            <w:r w:rsidR="006E292B">
              <w:t>.</w:t>
            </w:r>
          </w:p>
          <w:p w14:paraId="5FE798EE" w14:textId="77777777"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4A4CA2A3" w14:textId="77777777" w:rsidTr="009A053B">
        <w:tc>
          <w:tcPr>
            <w:tcW w:w="1438" w:type="pct"/>
            <w:shd w:val="clear" w:color="auto" w:fill="99CCFF"/>
            <w:vAlign w:val="center"/>
          </w:tcPr>
          <w:p w14:paraId="6474CD0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6FEB9ECC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D37FCF5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Odwoanieprzypisudolnego"/>
              </w:rPr>
              <w:footnoteReference w:id="5"/>
            </w:r>
            <w:r w:rsidRPr="00DD0783">
              <w:t>;</w:t>
            </w:r>
          </w:p>
          <w:p w14:paraId="27F01EC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1DA18C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66F56B9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14:paraId="702EB1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1C909B7D" w14:textId="77777777" w:rsidTr="009A053B">
        <w:tc>
          <w:tcPr>
            <w:tcW w:w="1438" w:type="pct"/>
            <w:shd w:val="clear" w:color="auto" w:fill="99CCFF"/>
            <w:vAlign w:val="center"/>
          </w:tcPr>
          <w:p w14:paraId="7908149D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460BBD3A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14:paraId="4B672D04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5036CF37" w14:textId="77777777" w:rsidR="002C7271" w:rsidRPr="00F55C85" w:rsidRDefault="002C7271" w:rsidP="00D44C8D">
            <w:pPr>
              <w:spacing w:before="120" w:after="120" w:line="240" w:lineRule="auto"/>
              <w:jc w:val="both"/>
              <w:rPr>
                <w:i/>
              </w:rPr>
            </w:pPr>
            <w:r w:rsidRPr="00DD0783">
              <w:lastRenderedPageBreak/>
              <w:t>Ogr</w:t>
            </w:r>
            <w:r>
              <w:t xml:space="preserve">aniczenie procentowe nie dotyczy pilotażowego projektu pozakonkursowego </w:t>
            </w:r>
            <w:proofErr w:type="spellStart"/>
            <w:r>
              <w:t>Catching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w ramach Poddziałania 1.3.4 D</w:t>
            </w:r>
            <w:r w:rsidRPr="00D97C03">
              <w:t xml:space="preserve">,  </w:t>
            </w:r>
            <w:r w:rsidRPr="002873AD">
              <w:t xml:space="preserve">dla którego stosowne uregulowania znajdą się w </w:t>
            </w:r>
            <w:r w:rsidRPr="002873AD">
              <w:rPr>
                <w:i/>
              </w:rPr>
              <w:t>Zasadach ubiegania się o wsparcie w trybie pozakonkursowym</w:t>
            </w:r>
            <w:r w:rsidRPr="00D97C03">
              <w:rPr>
                <w:i/>
              </w:rPr>
              <w:t>.</w:t>
            </w:r>
          </w:p>
          <w:p w14:paraId="61B845D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755D747E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1D4B08FA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62A41464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AF3BA9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90B5541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2A9BCC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14:paraId="74BB61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538806D2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247A75F1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2068DC23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2D242A8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2753E8AC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5911C674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19F74448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3E034676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1EB30193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dla którego Wnioskodawca/Beneficjent nie przedstawi aktualnej </w:t>
            </w:r>
            <w:r w:rsidRPr="00DD0783">
              <w:lastRenderedPageBreak/>
              <w:t>wyceny/operatu szacunkowego</w:t>
            </w:r>
            <w:r w:rsidR="00AE3F41" w:rsidRPr="00DD0783">
              <w:t>;</w:t>
            </w:r>
          </w:p>
          <w:p w14:paraId="54501CAC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5C292C01" w14:textId="77777777" w:rsidTr="009A053B">
        <w:tc>
          <w:tcPr>
            <w:tcW w:w="1438" w:type="pct"/>
            <w:shd w:val="clear" w:color="auto" w:fill="99CCFF"/>
            <w:vAlign w:val="center"/>
          </w:tcPr>
          <w:p w14:paraId="71D1E28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1BEC87F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394BCCF1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8A065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71A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</w:t>
            </w:r>
            <w:proofErr w:type="spellStart"/>
            <w:r w:rsidRPr="00DD0783">
              <w:t>Grantodawcę</w:t>
            </w:r>
            <w:proofErr w:type="spellEnd"/>
            <w:r w:rsidRPr="00DD0783">
              <w:t xml:space="preserve">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3622E3F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13FE" w14:textId="77777777"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6C5B3F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4995E984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172C3E2E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175A1A4B" w14:textId="77777777" w:rsidR="00A23F3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  <w:p w14:paraId="76AF6FD5" w14:textId="77777777" w:rsidR="000A7F5D" w:rsidRPr="00DD0783" w:rsidRDefault="000A7F5D" w:rsidP="009768D8">
            <w:pPr>
              <w:spacing w:after="120" w:line="240" w:lineRule="auto"/>
            </w:pPr>
          </w:p>
        </w:tc>
      </w:tr>
      <w:tr w:rsidR="00A23F33" w:rsidRPr="00DD0783" w14:paraId="61D4F353" w14:textId="77777777" w:rsidTr="009A053B">
        <w:tc>
          <w:tcPr>
            <w:tcW w:w="1438" w:type="pct"/>
            <w:shd w:val="clear" w:color="auto" w:fill="99CCFF"/>
            <w:vAlign w:val="center"/>
          </w:tcPr>
          <w:p w14:paraId="28950812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14:paraId="78636491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</w:t>
            </w:r>
            <w:r w:rsidRPr="00DD0783">
              <w:lastRenderedPageBreak/>
              <w:t>wykonywaniu ww. czynności w projekcie, jeżeli łącznie spełnione zostaną m.in. następujące warunki:</w:t>
            </w:r>
          </w:p>
          <w:p w14:paraId="1815FA33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1E2C432E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31A0E95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39AE3FEC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6CD719BF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 xml:space="preserve">1.4 </w:t>
            </w:r>
            <w:proofErr w:type="spellStart"/>
            <w:r w:rsidRPr="00DD0783">
              <w:t>Bc</w:t>
            </w:r>
            <w:proofErr w:type="spellEnd"/>
            <w:r w:rsidRPr="00DD0783">
              <w:t xml:space="preserve"> i C</w:t>
            </w:r>
            <w:r w:rsidR="00474CDD" w:rsidRPr="00DD0783">
              <w:rPr>
                <w:rStyle w:val="Odwoanieprzypisudolnego"/>
              </w:rPr>
              <w:footnoteReference w:id="8"/>
            </w:r>
            <w:r w:rsidR="00B46B35" w:rsidRPr="00DD0783">
              <w:t>.</w:t>
            </w:r>
          </w:p>
          <w:p w14:paraId="1303AC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0EFD6493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2A08061D" w14:textId="77777777" w:rsidR="004246C3" w:rsidRPr="00F55C85" w:rsidRDefault="004246C3" w:rsidP="00D44C8D">
            <w:pPr>
              <w:spacing w:before="120" w:after="120" w:line="240" w:lineRule="auto"/>
              <w:jc w:val="both"/>
              <w:rPr>
                <w:i/>
              </w:rPr>
            </w:pPr>
            <w:r>
              <w:t xml:space="preserve">Powyższe ograniczenia nie dotyczą </w:t>
            </w:r>
            <w:r w:rsidR="008E78FA">
              <w:t>projektów pozakonkursowych w Osi Priorytetowej 1 Przedsiębiorstwa i innowacje</w:t>
            </w:r>
            <w:r w:rsidRPr="00215C3A">
              <w:rPr>
                <w:i/>
              </w:rPr>
              <w:t>.</w:t>
            </w:r>
          </w:p>
          <w:p w14:paraId="10DF4E8B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58F06340" w14:textId="77777777" w:rsidTr="009A053B">
        <w:tc>
          <w:tcPr>
            <w:tcW w:w="1438" w:type="pct"/>
            <w:shd w:val="clear" w:color="auto" w:fill="99CCFF"/>
            <w:vAlign w:val="center"/>
          </w:tcPr>
          <w:p w14:paraId="4187A64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0C028D38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02370A39" w14:textId="77777777" w:rsidTr="009A053B">
        <w:tc>
          <w:tcPr>
            <w:tcW w:w="1438" w:type="pct"/>
            <w:shd w:val="clear" w:color="auto" w:fill="99CCFF"/>
            <w:vAlign w:val="center"/>
          </w:tcPr>
          <w:p w14:paraId="191C7A26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 xml:space="preserve">/koszty wyposażenia stanowiska pracy (jeżeli nie jest to </w:t>
            </w:r>
            <w:r w:rsidR="00A23F33" w:rsidRPr="00DD0783">
              <w:rPr>
                <w:b/>
              </w:rPr>
              <w:lastRenderedPageBreak/>
              <w:t>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14:paraId="7486CCD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lastRenderedPageBreak/>
              <w:t>Koszty bieżącego utrzymania/koszty wyposażenia stanowiska pracy (jeżeli nie jest to celem projektu)/ koszty operacyjne/bieżące stanowią wydatki niekwalifikowalne.</w:t>
            </w:r>
          </w:p>
          <w:p w14:paraId="726DF194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</w:t>
            </w:r>
            <w:r w:rsidRPr="00DD0783">
              <w:rPr>
                <w:u w:val="single"/>
              </w:rPr>
              <w:lastRenderedPageBreak/>
              <w:t xml:space="preserve">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7ED9BD10" w14:textId="77777777" w:rsidR="00A3700C" w:rsidRPr="00DD0783" w:rsidRDefault="00A3700C" w:rsidP="00B54CCC">
            <w:pPr>
              <w:spacing w:before="120" w:after="120" w:line="240" w:lineRule="auto"/>
              <w:jc w:val="both"/>
            </w:pPr>
          </w:p>
        </w:tc>
      </w:tr>
      <w:tr w:rsidR="00A23F33" w:rsidRPr="00DD0783" w14:paraId="3D94E580" w14:textId="77777777" w:rsidTr="009A053B">
        <w:tc>
          <w:tcPr>
            <w:tcW w:w="1438" w:type="pct"/>
            <w:shd w:val="clear" w:color="auto" w:fill="99CCFF"/>
            <w:vAlign w:val="center"/>
          </w:tcPr>
          <w:p w14:paraId="148FE67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14:paraId="6F89B1E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107A1A99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  <w:p w14:paraId="375B1DD9" w14:textId="77777777" w:rsidR="00A3700C" w:rsidRPr="00DD0783" w:rsidRDefault="00A3700C" w:rsidP="009768D8">
            <w:pPr>
              <w:spacing w:before="120" w:after="120" w:line="240" w:lineRule="auto"/>
              <w:jc w:val="both"/>
            </w:pPr>
            <w:r>
              <w:t xml:space="preserve">Powyższe ograniczenia nie dotyczą </w:t>
            </w:r>
            <w:r w:rsidR="0034694E">
              <w:t xml:space="preserve">projektów pozakonkursowych w Osi Priorytetowej 1 Przedsiębiorstwa i innowacje. </w:t>
            </w:r>
          </w:p>
        </w:tc>
      </w:tr>
      <w:tr w:rsidR="00A23F33" w:rsidRPr="00DD0783" w14:paraId="02330C15" w14:textId="77777777" w:rsidTr="009A053B">
        <w:tc>
          <w:tcPr>
            <w:tcW w:w="1438" w:type="pct"/>
            <w:shd w:val="clear" w:color="auto" w:fill="99CCFF"/>
            <w:vAlign w:val="center"/>
          </w:tcPr>
          <w:p w14:paraId="143526E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562270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69BBA91" w14:textId="77777777" w:rsidTr="009A053B">
        <w:tc>
          <w:tcPr>
            <w:tcW w:w="1438" w:type="pct"/>
            <w:shd w:val="clear" w:color="auto" w:fill="99CCFF"/>
            <w:vAlign w:val="center"/>
          </w:tcPr>
          <w:p w14:paraId="7B63406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29AB2A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1EF805C8" w14:textId="77777777" w:rsidTr="009A053B">
        <w:tc>
          <w:tcPr>
            <w:tcW w:w="1438" w:type="pct"/>
            <w:shd w:val="clear" w:color="auto" w:fill="99CCFF"/>
            <w:vAlign w:val="center"/>
          </w:tcPr>
          <w:p w14:paraId="3F51240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26E08B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0F639820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ACFC57C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0FD8194A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704EED71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00C1A9F7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9BB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proofErr w:type="spellStart"/>
            <w:r w:rsidRPr="00DD0783">
              <w:rPr>
                <w:b/>
                <w:i/>
              </w:rPr>
              <w:t>financing</w:t>
            </w:r>
            <w:proofErr w:type="spellEnd"/>
          </w:p>
        </w:tc>
        <w:tc>
          <w:tcPr>
            <w:tcW w:w="3562" w:type="pct"/>
            <w:vAlign w:val="center"/>
          </w:tcPr>
          <w:p w14:paraId="7B1C1E4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14:paraId="6FEBDCB3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A21012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lastRenderedPageBreak/>
              <w:t>Zakup gruntu</w:t>
            </w:r>
            <w:r w:rsidRPr="007668E1"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3E2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467EABF0" w14:textId="77777777" w:rsidR="00A26918" w:rsidRDefault="00A26918" w:rsidP="003B2988">
      <w:pPr>
        <w:jc w:val="both"/>
        <w:rPr>
          <w:b/>
        </w:rPr>
      </w:pPr>
    </w:p>
    <w:p w14:paraId="0496DD73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2ABA2E4A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438E987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507CB1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5AB071E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3E0E7EB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4D1F02A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2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39B4820D" w14:textId="77777777" w:rsidR="00A23F33" w:rsidRPr="00CD30E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5CEE02F7" w14:textId="77777777" w:rsidR="00144BB9" w:rsidRPr="00DD0783" w:rsidRDefault="00144BB9" w:rsidP="00E71C56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Odwoanieprzypisudolnego"/>
          <w:rFonts w:eastAsia="Times New Roman" w:cs="Times New Roman"/>
        </w:rPr>
        <w:footnoteReference w:id="13"/>
      </w:r>
      <w:r>
        <w:rPr>
          <w:rFonts w:eastAsia="Times New Roman" w:cs="Times New Roman"/>
        </w:rPr>
        <w:t>.</w:t>
      </w:r>
    </w:p>
    <w:p w14:paraId="31F49A31" w14:textId="77777777" w:rsidR="00A23F33" w:rsidRPr="00DD0783" w:rsidRDefault="00A23F33" w:rsidP="003B2988">
      <w:pPr>
        <w:pStyle w:val="Akapitzlist"/>
        <w:spacing w:after="0"/>
        <w:jc w:val="both"/>
      </w:pPr>
    </w:p>
    <w:p w14:paraId="0FCC2930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2654D2A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1F23388D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253D3CCF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14:paraId="3952A4E5" w14:textId="77777777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6"/>
      </w:r>
      <w:r w:rsidR="00DD5F4B" w:rsidRPr="00DD0783">
        <w:rPr>
          <w:rStyle w:val="Odwoanieprzypisukocowego"/>
        </w:rPr>
        <w:endnoteReference w:id="2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14:paraId="328CBAE9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5BEB4EB1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W przypadku dużych przedsiębiorstw – wydatki na wdrożenie wyników prac B+R.</w:t>
      </w:r>
    </w:p>
    <w:p w14:paraId="6D36B22B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665DFB9A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3E8A3702" w14:textId="77777777" w:rsidR="00DD5F4B" w:rsidRPr="00DD0783" w:rsidRDefault="00DD5F4B" w:rsidP="003B2988">
      <w:pPr>
        <w:pStyle w:val="Akapitzlist"/>
        <w:spacing w:after="0"/>
        <w:jc w:val="both"/>
      </w:pPr>
    </w:p>
    <w:p w14:paraId="576D2F6D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12C1516D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1D5D7A7F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263120F2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 xml:space="preserve">. </w:t>
      </w:r>
    </w:p>
    <w:p w14:paraId="45C9B057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9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9"/>
      <w:r w:rsidRPr="00DD0783">
        <w:rPr>
          <w:rFonts w:eastAsia="Times New Roman" w:cs="Times New Roman"/>
        </w:rPr>
        <w:t>.</w:t>
      </w:r>
    </w:p>
    <w:p w14:paraId="657EDDEF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9"/>
      </w:r>
      <w:r w:rsidR="001213D3" w:rsidRPr="00DD0783">
        <w:t>.</w:t>
      </w:r>
    </w:p>
    <w:p w14:paraId="4F14FBFB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7313A412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CE582B">
        <w:rPr>
          <w:rFonts w:eastAsia="Times New Roman" w:cs="Times New Roman"/>
          <w:b/>
        </w:rPr>
        <w:t xml:space="preserve"> b</w:t>
      </w:r>
      <w:r w:rsidR="006B4515" w:rsidRPr="00DD0783">
        <w:rPr>
          <w:rFonts w:eastAsia="Times New Roman" w:cs="Times New Roman"/>
          <w:b/>
        </w:rPr>
        <w:t>:</w:t>
      </w:r>
    </w:p>
    <w:p w14:paraId="538A4937" w14:textId="77777777" w:rsidR="00CE582B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CE582B">
        <w:rPr>
          <w:rFonts w:eastAsia="Times New Roman" w:cs="Times New Roman"/>
        </w:rPr>
        <w:t>;</w:t>
      </w:r>
    </w:p>
    <w:p w14:paraId="7B27946D" w14:textId="77777777" w:rsidR="00154A82" w:rsidRDefault="00154A82" w:rsidP="00154A82">
      <w:pPr>
        <w:pStyle w:val="Akapitzlist"/>
        <w:numPr>
          <w:ilvl w:val="0"/>
          <w:numId w:val="16"/>
        </w:numPr>
        <w:spacing w:after="0"/>
        <w:jc w:val="both"/>
      </w:pPr>
      <w:r>
        <w:t xml:space="preserve">Wydatki </w:t>
      </w:r>
      <w:proofErr w:type="spellStart"/>
      <w:r>
        <w:t>Grantodawcy</w:t>
      </w:r>
      <w:proofErr w:type="spellEnd"/>
      <w:r>
        <w:t xml:space="preserve"> </w:t>
      </w:r>
      <w:r w:rsidRPr="00154A82">
        <w:rPr>
          <w:b/>
          <w:u w:val="single"/>
        </w:rPr>
        <w:t>inne niż</w:t>
      </w:r>
      <w:r>
        <w:rPr>
          <w:color w:val="1F497D" w:themeColor="dark2"/>
        </w:rPr>
        <w:t>:</w:t>
      </w:r>
      <w:r>
        <w:t xml:space="preserve"> </w:t>
      </w:r>
    </w:p>
    <w:p w14:paraId="38760472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wynagrodzenia pracowników zaangażowanych w realizację projektu, </w:t>
      </w:r>
    </w:p>
    <w:p w14:paraId="22956428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>zakup środków trwałych</w:t>
      </w:r>
      <w:r w:rsidR="001B56D3">
        <w:t xml:space="preserve"> </w:t>
      </w:r>
      <w:r w:rsidR="001B56D3">
        <w:rPr>
          <w:rFonts w:ascii="Calibri" w:eastAsia="Times New Roman" w:hAnsi="Calibri" w:cs="Arial"/>
        </w:rPr>
        <w:t>(z wyłączeniem grup 0, 1, 2, 7, 9 wg Klasyfikacji Środków Trwałych)</w:t>
      </w:r>
      <w:r>
        <w:t xml:space="preserve">, </w:t>
      </w:r>
    </w:p>
    <w:p w14:paraId="583004BB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>usługi związane z promocją projektu</w:t>
      </w:r>
      <w:r w:rsidR="00157F1C">
        <w:t xml:space="preserve"> </w:t>
      </w:r>
      <w:r w:rsidR="00157F1C">
        <w:rPr>
          <w:color w:val="FF0000"/>
        </w:rPr>
        <w:t>(tj. wydatki związane z działaniami informacyjno-promocyjnymi projektu, np. informacja na stronie www o uzyskanym wsparciu, jak i wydatki związane z merytoryczną promocją projektu, np. spoty informacyjne w mediach)</w:t>
      </w:r>
      <w:r>
        <w:t xml:space="preserve">. </w:t>
      </w:r>
    </w:p>
    <w:p w14:paraId="45326E99" w14:textId="77777777" w:rsidR="00CE582B" w:rsidRDefault="00CE582B" w:rsidP="001B7507">
      <w:pPr>
        <w:spacing w:after="0"/>
        <w:jc w:val="both"/>
        <w:rPr>
          <w:b/>
        </w:rPr>
      </w:pPr>
    </w:p>
    <w:p w14:paraId="3AC9B64E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6763963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7285B7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0ECC8B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80E7BE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3EB3ADC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0E1D6303" w14:textId="77777777" w:rsidR="00A23F33" w:rsidRPr="00DD0783" w:rsidRDefault="00A23F33" w:rsidP="003B2988">
      <w:pPr>
        <w:pStyle w:val="Akapitzlist"/>
        <w:spacing w:after="0"/>
        <w:jc w:val="both"/>
      </w:pPr>
    </w:p>
    <w:p w14:paraId="186C2FC7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097195ED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lastRenderedPageBreak/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6591542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135638B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6DCA37B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14:paraId="01C9528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36F210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21"/>
      </w:r>
      <w:r w:rsidRPr="00DD0783">
        <w:rPr>
          <w:rFonts w:cs="Arial"/>
        </w:rPr>
        <w:t>.</w:t>
      </w:r>
    </w:p>
    <w:p w14:paraId="79525D7C" w14:textId="77777777" w:rsidR="00A23F33" w:rsidRPr="00DD0783" w:rsidRDefault="00A23F33" w:rsidP="003B2988">
      <w:pPr>
        <w:pStyle w:val="Akapitzlist"/>
        <w:spacing w:after="0"/>
        <w:jc w:val="both"/>
      </w:pPr>
    </w:p>
    <w:p w14:paraId="67D95661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17D3BC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14:paraId="30F91E5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600E015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4564B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4D9F73D1" w14:textId="77777777" w:rsidR="00A23F33" w:rsidRPr="00DD0783" w:rsidRDefault="00A23F33" w:rsidP="003B2988">
      <w:pPr>
        <w:pStyle w:val="Akapitzlist"/>
        <w:spacing w:after="0"/>
        <w:jc w:val="both"/>
      </w:pPr>
    </w:p>
    <w:p w14:paraId="792AF216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7F963C0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18A23D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6B8D278C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14:paraId="21331428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F990465" w14:textId="77777777" w:rsidR="00A3700C" w:rsidRDefault="00A3700C" w:rsidP="00A3700C">
      <w:pPr>
        <w:jc w:val="both"/>
        <w:rPr>
          <w:b/>
        </w:rPr>
      </w:pPr>
      <w:r>
        <w:rPr>
          <w:b/>
        </w:rPr>
        <w:t>Poddziałanie</w:t>
      </w:r>
      <w:r w:rsidRPr="00DD0783">
        <w:rPr>
          <w:b/>
        </w:rPr>
        <w:t xml:space="preserve"> 1.3</w:t>
      </w:r>
      <w:r>
        <w:rPr>
          <w:b/>
        </w:rPr>
        <w:t>.4 D</w:t>
      </w:r>
      <w:r w:rsidRPr="00DD0783">
        <w:rPr>
          <w:b/>
        </w:rPr>
        <w:t xml:space="preserve"> Rozwój przedsiębiorczości</w:t>
      </w:r>
      <w:r>
        <w:rPr>
          <w:b/>
        </w:rPr>
        <w:t xml:space="preserve"> – projekt pozakonkursowy</w:t>
      </w:r>
      <w:r w:rsidRPr="00DD0783">
        <w:rPr>
          <w:b/>
        </w:rPr>
        <w:t>:</w:t>
      </w:r>
    </w:p>
    <w:p w14:paraId="6C4A6391" w14:textId="77777777" w:rsidR="00A3700C" w:rsidRPr="002873AD" w:rsidRDefault="00A3700C" w:rsidP="00A3700C">
      <w:pPr>
        <w:pStyle w:val="Akapitzlist"/>
        <w:numPr>
          <w:ilvl w:val="0"/>
          <w:numId w:val="44"/>
        </w:numPr>
        <w:jc w:val="both"/>
      </w:pPr>
      <w:r w:rsidRPr="002873AD">
        <w:t>Wydatki związane z usługami doradczymi na rzecz MŚP przekraczające 55% wydatków kwalifikowalnych projektu</w:t>
      </w:r>
      <w:r>
        <w:t>.</w:t>
      </w:r>
    </w:p>
    <w:p w14:paraId="7CDA9973" w14:textId="77777777" w:rsidR="00A3700C" w:rsidRPr="00A3700C" w:rsidRDefault="005D6291" w:rsidP="00A3700C">
      <w:pPr>
        <w:pStyle w:val="Akapitzlist"/>
        <w:numPr>
          <w:ilvl w:val="0"/>
          <w:numId w:val="44"/>
        </w:numPr>
        <w:jc w:val="both"/>
      </w:pPr>
      <w:r>
        <w:t>Wydatki na Działania ws</w:t>
      </w:r>
      <w:r w:rsidR="00A3700C" w:rsidRPr="002873AD">
        <w:t>pierające usługi doradcze na rzecz MŚP przekraczające 45% wydatków kwalifikowalnych projektu.</w:t>
      </w:r>
    </w:p>
    <w:p w14:paraId="693DC0A5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1" w:name="_Toc194291240"/>
      <w:bookmarkStart w:id="12" w:name="_Toc209405135"/>
      <w:r w:rsidR="00A23F33" w:rsidRPr="00DD0783">
        <w:rPr>
          <w:b/>
        </w:rPr>
        <w:t xml:space="preserve"> </w:t>
      </w:r>
      <w:bookmarkEnd w:id="11"/>
      <w:bookmarkEnd w:id="12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1145B21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04F8A4A8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4"/>
      </w:r>
      <w:r w:rsidRPr="00DD0783">
        <w:rPr>
          <w:rFonts w:eastAsiaTheme="majorEastAsia" w:cstheme="majorBidi"/>
          <w:bCs/>
        </w:rPr>
        <w:t>.</w:t>
      </w:r>
    </w:p>
    <w:p w14:paraId="51D18631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6E15DDDF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57EDAD52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lastRenderedPageBreak/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</w:t>
      </w:r>
      <w:proofErr w:type="spellStart"/>
      <w:r w:rsidRPr="00DD0783">
        <w:rPr>
          <w:rFonts w:eastAsiaTheme="majorEastAsia" w:cstheme="majorBidi"/>
          <w:bCs/>
        </w:rPr>
        <w:t>a</w:t>
      </w:r>
      <w:proofErr w:type="spellEnd"/>
      <w:r w:rsidRPr="00DD0783">
        <w:rPr>
          <w:rFonts w:eastAsiaTheme="majorEastAsia" w:cstheme="majorBidi"/>
          <w:bCs/>
        </w:rPr>
        <w:t xml:space="preserve">. </w:t>
      </w:r>
    </w:p>
    <w:p w14:paraId="541EFFA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444178FD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1ECB4FE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8C57AD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5"/>
      </w:r>
      <w:r w:rsidRPr="00DD0783">
        <w:t>.</w:t>
      </w:r>
    </w:p>
    <w:p w14:paraId="4B06FBE6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65FA8663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7026A04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12AA0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1F78B5C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74E311A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4629E70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5090AE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5987AA4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449C5F8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3E0A8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6"/>
      </w:r>
      <w:r w:rsidRPr="00DD0783">
        <w:t>.</w:t>
      </w:r>
    </w:p>
    <w:p w14:paraId="3487527E" w14:textId="77777777" w:rsidR="00A23F33" w:rsidRPr="00DD0783" w:rsidRDefault="00A23F33" w:rsidP="003B2988">
      <w:pPr>
        <w:pStyle w:val="Akapitzlist"/>
        <w:spacing w:after="0"/>
        <w:jc w:val="both"/>
      </w:pPr>
    </w:p>
    <w:p w14:paraId="46748025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E64D325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7D052C1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4A7AA0D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5D7A250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31EABF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 xml:space="preserve">). </w:t>
      </w:r>
    </w:p>
    <w:p w14:paraId="15B0433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Wkład niepieniężny stanowiący część wkładu własnego przekraczający 10% całkowitych wydatków kwalifikowalnych.</w:t>
      </w:r>
    </w:p>
    <w:p w14:paraId="260E971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8"/>
      </w:r>
      <w:r w:rsidRPr="00DD0783">
        <w:t>.</w:t>
      </w:r>
    </w:p>
    <w:p w14:paraId="18C7944B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>.</w:t>
      </w:r>
    </w:p>
    <w:p w14:paraId="3B90BE8A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30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3AEA7DF0" w14:textId="77777777"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Odwoanieprzypisudolnego"/>
          <w:rFonts w:eastAsia="Times New Roman" w:cs="Times New Roman"/>
        </w:rPr>
        <w:footnoteReference w:id="31"/>
      </w:r>
      <w:r w:rsidRPr="000B129E">
        <w:rPr>
          <w:rFonts w:eastAsia="Times New Roman" w:cs="Times New Roman"/>
        </w:rPr>
        <w:t>:</w:t>
      </w:r>
    </w:p>
    <w:p w14:paraId="50EE36CE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DB955C6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>
        <w:rPr>
          <w:rFonts w:ascii="Calibri" w:hAnsi="Calibri" w:cs="Calibri"/>
          <w:color w:val="000000"/>
        </w:rPr>
        <w:t>,</w:t>
      </w:r>
    </w:p>
    <w:p w14:paraId="2A1C7E13" w14:textId="77777777" w:rsidR="000B129E" w:rsidRDefault="000B129E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757967">
        <w:rPr>
          <w:rFonts w:ascii="Calibri" w:hAnsi="Calibri" w:cs="Calibri"/>
          <w:color w:val="000000"/>
        </w:rPr>
        <w:t>.</w:t>
      </w:r>
    </w:p>
    <w:p w14:paraId="221D5D05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  <w:color w:val="000000"/>
        </w:rPr>
      </w:pPr>
    </w:p>
    <w:p w14:paraId="5B86528B" w14:textId="77777777" w:rsidR="00AF3CDE" w:rsidRDefault="00AF3CDE" w:rsidP="00AF3CDE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1.5.D – dotyczy naboru na zakup </w:t>
      </w:r>
      <w:r w:rsidR="00CD5B24">
        <w:rPr>
          <w:rFonts w:ascii="Calibri" w:hAnsi="Calibri" w:cs="Calibri"/>
          <w:color w:val="000000"/>
        </w:rPr>
        <w:t xml:space="preserve">ruchomych </w:t>
      </w:r>
      <w:r>
        <w:rPr>
          <w:rFonts w:ascii="Calibri" w:hAnsi="Calibri" w:cs="Calibri"/>
          <w:color w:val="000000"/>
        </w:rPr>
        <w:t xml:space="preserve">środków trwałych i </w:t>
      </w:r>
      <w:proofErr w:type="spellStart"/>
      <w:r>
        <w:rPr>
          <w:rFonts w:ascii="Calibri" w:hAnsi="Calibri" w:cs="Calibri"/>
          <w:color w:val="000000"/>
        </w:rPr>
        <w:t>WNiP</w:t>
      </w:r>
      <w:proofErr w:type="spellEnd"/>
      <w:r>
        <w:rPr>
          <w:rFonts w:ascii="Calibri" w:hAnsi="Calibri" w:cs="Calibri"/>
          <w:color w:val="000000"/>
        </w:rPr>
        <w:t>:</w:t>
      </w:r>
    </w:p>
    <w:p w14:paraId="4B199482" w14:textId="77777777" w:rsidR="00AF3CDE" w:rsidRPr="00AF3CDE" w:rsidRDefault="00AF3CDE" w:rsidP="00AF3C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</w:t>
      </w:r>
      <w:r w:rsidR="00154A82">
        <w:rPr>
          <w:rFonts w:eastAsia="Times New Roman" w:cs="Times New Roman"/>
        </w:rPr>
        <w:t>:</w:t>
      </w:r>
    </w:p>
    <w:p w14:paraId="2F631C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 w:rsidR="00B66C8A">
        <w:rPr>
          <w:rFonts w:ascii="Calibri" w:hAnsi="Calibri" w:cs="Calibri"/>
          <w:color w:val="000000"/>
        </w:rPr>
        <w:t>,</w:t>
      </w:r>
    </w:p>
    <w:p w14:paraId="08410D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A427CD">
        <w:rPr>
          <w:rFonts w:ascii="Calibri" w:hAnsi="Calibri" w:cs="Calibri"/>
          <w:color w:val="000000"/>
        </w:rPr>
        <w:t xml:space="preserve"> </w:t>
      </w:r>
      <w:r w:rsidR="00A427CD" w:rsidRPr="00CD5B24">
        <w:rPr>
          <w:rFonts w:ascii="Calibri" w:hAnsi="Calibri" w:cs="Calibri"/>
          <w:color w:val="000000"/>
        </w:rPr>
        <w:t>(wraz z niezbędnymi kosztami wdrożenia)</w:t>
      </w:r>
      <w:r w:rsidR="00154A82" w:rsidRPr="00CD5B24">
        <w:rPr>
          <w:rFonts w:ascii="Calibri" w:hAnsi="Calibri" w:cs="Calibri"/>
          <w:color w:val="000000"/>
        </w:rPr>
        <w:t>.</w:t>
      </w:r>
    </w:p>
    <w:p w14:paraId="42A79185" w14:textId="77777777" w:rsidR="00550A69" w:rsidRPr="00A466E9" w:rsidRDefault="00550A69" w:rsidP="00A466E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</w:t>
      </w:r>
      <w:r w:rsidRPr="00DD0783">
        <w:rPr>
          <w:rFonts w:eastAsia="Times New Roman" w:cs="Times New Roman"/>
        </w:rPr>
        <w:t>kład niepieniężny</w:t>
      </w:r>
      <w:r w:rsidR="00DD581E">
        <w:rPr>
          <w:rFonts w:eastAsia="Times New Roman" w:cs="Times New Roman"/>
        </w:rPr>
        <w:t xml:space="preserve"> </w:t>
      </w:r>
      <w:r w:rsidR="00DD581E" w:rsidRPr="00DD0783">
        <w:rPr>
          <w:rFonts w:eastAsia="Times New Roman" w:cs="Times New Roman"/>
        </w:rPr>
        <w:t>stanowiący część wkładu własnego</w:t>
      </w:r>
      <w:r w:rsidR="00DD581E">
        <w:rPr>
          <w:rFonts w:eastAsia="Times New Roman" w:cs="Times New Roman"/>
        </w:rPr>
        <w:t>.</w:t>
      </w:r>
    </w:p>
    <w:p w14:paraId="318679A7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</w:rPr>
      </w:pPr>
    </w:p>
    <w:p w14:paraId="0EF5C972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063DE2B9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0F2F918D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</w:t>
      </w:r>
      <w:proofErr w:type="spellStart"/>
      <w:r w:rsidRPr="00DD0783">
        <w:rPr>
          <w:rFonts w:eastAsia="Calibri"/>
        </w:rPr>
        <w:t>hotelingiem</w:t>
      </w:r>
      <w:proofErr w:type="spellEnd"/>
      <w:r w:rsidRPr="00DD0783">
        <w:rPr>
          <w:rFonts w:eastAsia="Calibri"/>
        </w:rPr>
        <w:t xml:space="preserve">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2EEF867F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3607796C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57CA026B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2"/>
      </w:r>
      <w:r w:rsidR="00176EB7" w:rsidRPr="00DD0783">
        <w:rPr>
          <w:rFonts w:eastAsia="Calibri"/>
        </w:rPr>
        <w:t>.</w:t>
      </w:r>
    </w:p>
    <w:p w14:paraId="7BCBA912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4F220E7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89135C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lastRenderedPageBreak/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25CA0C7C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534DB30F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 xml:space="preserve">Wydatki związane z </w:t>
      </w:r>
      <w:proofErr w:type="spellStart"/>
      <w:r w:rsidRPr="00DD0783">
        <w:t>przesyłem</w:t>
      </w:r>
      <w:proofErr w:type="spellEnd"/>
      <w:r w:rsidRPr="00DD0783">
        <w:t xml:space="preserve"> energii</w:t>
      </w:r>
      <w:r w:rsidRPr="00DD0783">
        <w:rPr>
          <w:rStyle w:val="Odwoanieprzypisudolnego"/>
        </w:rPr>
        <w:footnoteReference w:id="33"/>
      </w:r>
      <w:r w:rsidRPr="00DD0783">
        <w:t>.</w:t>
      </w:r>
    </w:p>
    <w:p w14:paraId="66DB2143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7F97E6D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0180E98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498CBFD5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</w:p>
    <w:p w14:paraId="37A820A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47F9768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48457E19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5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6"/>
      </w:r>
      <w:r w:rsidRPr="00DD0783">
        <w:rPr>
          <w:rFonts w:eastAsia="TTE1ABE920t00"/>
        </w:rPr>
        <w:t>.</w:t>
      </w:r>
    </w:p>
    <w:p w14:paraId="2D03697D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6F2A32B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7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56AA2C1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8"/>
      </w:r>
      <w:r w:rsidRPr="00DD0783">
        <w:t>.</w:t>
      </w:r>
    </w:p>
    <w:p w14:paraId="76F2A2F2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9"/>
      </w:r>
      <w:r w:rsidRPr="00DD0783">
        <w:rPr>
          <w:rFonts w:eastAsia="Times New Roman" w:cs="Times New Roman"/>
        </w:rPr>
        <w:t>.</w:t>
      </w:r>
    </w:p>
    <w:p w14:paraId="5562202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3077D33B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lastRenderedPageBreak/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Odwoanieprzypisudolnego"/>
        </w:rPr>
        <w:footnoteReference w:id="40"/>
      </w:r>
      <w:r w:rsidR="00880E60">
        <w:t>.</w:t>
      </w:r>
    </w:p>
    <w:p w14:paraId="7FEF4337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18F28B72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2BDC4EA3" w14:textId="77777777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 w:rsidR="008618B2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14:paraId="3DC17BDC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42"/>
      </w:r>
    </w:p>
    <w:p w14:paraId="42B98D0D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</w:t>
      </w:r>
      <w:proofErr w:type="spellStart"/>
      <w:r w:rsidRPr="00C17EEC">
        <w:rPr>
          <w:rFonts w:cs="Arial"/>
        </w:rPr>
        <w:t>ekoprojektu</w:t>
      </w:r>
      <w:proofErr w:type="spellEnd"/>
      <w:r w:rsidRPr="00C17EEC">
        <w:rPr>
          <w:rFonts w:cs="Arial"/>
        </w:rPr>
        <w:t xml:space="preserve"> dla produktów związanych z energią.</w:t>
      </w:r>
    </w:p>
    <w:p w14:paraId="6364F54D" w14:textId="77777777" w:rsidR="00283995" w:rsidRDefault="00283995" w:rsidP="00880E60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43"/>
      </w:r>
      <w:r>
        <w:t>.</w:t>
      </w:r>
    </w:p>
    <w:p w14:paraId="3323730D" w14:textId="77777777"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720178A9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proofErr w:type="spellStart"/>
      <w:r w:rsidR="009F021E">
        <w:t>G</w:t>
      </w:r>
      <w:r w:rsidR="00D93AD2">
        <w:t>rantobiorcę</w:t>
      </w:r>
      <w:proofErr w:type="spellEnd"/>
      <w:r w:rsidR="00D93AD2">
        <w:t>)</w:t>
      </w:r>
      <w:r>
        <w:t>.</w:t>
      </w:r>
    </w:p>
    <w:p w14:paraId="3D7EDB6A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46B43A43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proofErr w:type="spellStart"/>
      <w:r w:rsidR="00C40B9D">
        <w:t>G</w:t>
      </w:r>
      <w:r>
        <w:t>rantodawcy</w:t>
      </w:r>
      <w:proofErr w:type="spellEnd"/>
      <w:r>
        <w:t xml:space="preserve">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B2C047E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lastRenderedPageBreak/>
        <w:t>ww. osoba jest bezpośrednio zaangażowana w wykonywanie ww. czynności w ramach projektu;</w:t>
      </w:r>
    </w:p>
    <w:p w14:paraId="32B51BAF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68F3CE1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6C36D139" w14:textId="77777777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</w:t>
      </w:r>
      <w:r w:rsidR="005A2D3C">
        <w:t> </w:t>
      </w:r>
      <w:r>
        <w:t>projekcie.</w:t>
      </w:r>
    </w:p>
    <w:p w14:paraId="0E057BBC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proofErr w:type="spellStart"/>
      <w:r w:rsidR="00C40B9D">
        <w:t>G</w:t>
      </w:r>
      <w:r>
        <w:t>rantodawcę</w:t>
      </w:r>
      <w:proofErr w:type="spellEnd"/>
      <w:r>
        <w:t xml:space="preserve">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proofErr w:type="spellStart"/>
      <w:r w:rsidR="009F021E">
        <w:t>G</w:t>
      </w:r>
      <w:r w:rsidR="009B65DB">
        <w:t>rantobiorców</w:t>
      </w:r>
      <w:proofErr w:type="spellEnd"/>
      <w:r w:rsidR="009B65DB">
        <w:t xml:space="preserve"> w projekcie, z których wynika, że potencjalny </w:t>
      </w:r>
      <w:proofErr w:type="spellStart"/>
      <w:r w:rsidR="009F021E">
        <w:t>G</w:t>
      </w:r>
      <w:r w:rsidR="009B65DB">
        <w:t>rantobiorca</w:t>
      </w:r>
      <w:proofErr w:type="spellEnd"/>
      <w:r w:rsidR="009B65DB">
        <w:t xml:space="preserve"> nie spełni wymogów naboru do projektu – nie mogą być kwalifikowalne</w:t>
      </w:r>
      <w:r w:rsidR="00B2539D">
        <w:t>.</w:t>
      </w:r>
    </w:p>
    <w:p w14:paraId="036890E0" w14:textId="77777777" w:rsidR="009C18C1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proofErr w:type="spellStart"/>
      <w:r w:rsidR="00C40B9D">
        <w:t>G</w:t>
      </w:r>
      <w:r w:rsidR="00580F5D">
        <w:t>rantodawcę</w:t>
      </w:r>
      <w:proofErr w:type="spellEnd"/>
      <w:r w:rsidR="00580F5D">
        <w:t xml:space="preserve"> – w tym przypadku z uwzględnieniem zapisu poprzedzającego niniejszy </w:t>
      </w:r>
      <w:proofErr w:type="spellStart"/>
      <w:r w:rsidR="00580F5D">
        <w:t>tiret</w:t>
      </w:r>
      <w:proofErr w:type="spellEnd"/>
      <w:r w:rsidR="00580F5D">
        <w:t>)</w:t>
      </w:r>
      <w:r>
        <w:t xml:space="preserve"> przekraczające limit 15% wydatków kwalifikowalnych w projekcie</w:t>
      </w:r>
      <w:r w:rsidR="00580F5D">
        <w:t>.</w:t>
      </w:r>
    </w:p>
    <w:p w14:paraId="5D8A8FFB" w14:textId="77777777" w:rsidR="00C43638" w:rsidRPr="00C43638" w:rsidRDefault="00C43638" w:rsidP="00C43638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Odwoanieprzypisudolnego"/>
          <w:rFonts w:cs="Arial"/>
        </w:rPr>
        <w:footnoteReference w:id="44"/>
      </w:r>
    </w:p>
    <w:p w14:paraId="27C26946" w14:textId="77777777" w:rsidR="00C43638" w:rsidRPr="00DD0783" w:rsidRDefault="00C43638" w:rsidP="00E71C56">
      <w:pPr>
        <w:pStyle w:val="Akapitzlist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Odwoanieprzypisudolnego"/>
          <w:rFonts w:cs="Arial"/>
          <w:iCs/>
        </w:rPr>
        <w:footnoteReference w:id="45"/>
      </w:r>
    </w:p>
    <w:p w14:paraId="684D7B25" w14:textId="77777777" w:rsidR="0010120B" w:rsidRDefault="0010120B" w:rsidP="001B7507">
      <w:pPr>
        <w:spacing w:after="0"/>
        <w:jc w:val="both"/>
        <w:rPr>
          <w:b/>
        </w:rPr>
      </w:pPr>
    </w:p>
    <w:p w14:paraId="7F7A16A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09C4DBB1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602CDE0E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344FA73D" w14:textId="77777777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lastRenderedPageBreak/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 xml:space="preserve">infrastruktura niezbędna dla nisko– i </w:t>
      </w:r>
      <w:proofErr w:type="spellStart"/>
      <w:r w:rsidR="00616985">
        <w:t>bezemisyjnego</w:t>
      </w:r>
      <w:proofErr w:type="spellEnd"/>
      <w:r w:rsidR="00616985">
        <w:t xml:space="preserve">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6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 xml:space="preserve">przypadku infrastruktury obsługującej tabor nisko- i </w:t>
      </w:r>
      <w:proofErr w:type="spellStart"/>
      <w:r w:rsidR="00616985">
        <w:t>bezemisyjny</w:t>
      </w:r>
      <w:proofErr w:type="spellEnd"/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6ECF9511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4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2C969913" w14:textId="77777777" w:rsidR="0097504F" w:rsidRPr="0097504F" w:rsidRDefault="0022532B" w:rsidP="0097504F">
      <w:pPr>
        <w:pStyle w:val="Akapitzlist"/>
        <w:numPr>
          <w:ilvl w:val="0"/>
          <w:numId w:val="10"/>
        </w:numPr>
        <w:jc w:val="both"/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97504F">
        <w:t>zgodnie z definicją z ustawy z dnia 20 czerwca 1997 r. Prawo o ruchu drogowym</w:t>
      </w:r>
      <w:r w:rsidR="00746B7B" w:rsidRPr="0097504F">
        <w:t>.</w:t>
      </w:r>
      <w:r w:rsidR="0009794A" w:rsidRPr="0097504F">
        <w:t xml:space="preserve"> </w:t>
      </w:r>
    </w:p>
    <w:p w14:paraId="287B36F6" w14:textId="77777777" w:rsidR="00A77673" w:rsidRPr="00746B7B" w:rsidRDefault="001113B7" w:rsidP="00026983">
      <w:pPr>
        <w:pStyle w:val="Akapitzlist"/>
        <w:spacing w:line="240" w:lineRule="auto"/>
        <w:ind w:left="360"/>
        <w:jc w:val="both"/>
        <w:rPr>
          <w:rFonts w:cs="Arial"/>
        </w:rPr>
      </w:pPr>
      <w:r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Pr="008D002F">
        <w:rPr>
          <w:rFonts w:cs="Arial"/>
        </w:rPr>
        <w:t>3.4 e</w:t>
      </w:r>
      <w:r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14:paraId="19F832A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14:paraId="61BC7F8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14:paraId="1775E4E5" w14:textId="77777777" w:rsidR="001113B7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14:paraId="20DAE02A" w14:textId="77777777" w:rsidR="001113B7" w:rsidRPr="00B43F6B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14:paraId="07D65CDD" w14:textId="77777777" w:rsidR="000E1A11" w:rsidRPr="0009794A" w:rsidRDefault="000E1A11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14:paraId="45B54734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56796337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09E02035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764041F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1A2F306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1F6044D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4B3CF39F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7C5AF19A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lastRenderedPageBreak/>
        <w:t>Wydatki poniesione na instalacje służące do odzysku energii z odpadów przekraczające 49% wartości całkowitych wydatków kwalifikowalnych projektu.</w:t>
      </w:r>
    </w:p>
    <w:p w14:paraId="47F38ECA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65B9C04F" w14:textId="77777777" w:rsidR="00E74430" w:rsidRPr="00E74430" w:rsidRDefault="00A23F33" w:rsidP="00E74430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14:paraId="22138A3E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62AB2372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5A7BABB9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5577B3D8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6C3B44ED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38D021AC" w14:textId="77777777"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14:paraId="23A89AC7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16468F3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2BF149C3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62A77F53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4ECC89EA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17D3AC07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2E7B501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4BBCBAD4" w14:textId="77777777" w:rsidR="000F7BCE" w:rsidRDefault="00A23F33" w:rsidP="00B43F6B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22583880" w14:textId="77777777" w:rsidR="000E298A" w:rsidRPr="00D109AA" w:rsidRDefault="000F7BCE" w:rsidP="00B43F6B">
      <w:pPr>
        <w:pStyle w:val="Akapitzlist"/>
        <w:numPr>
          <w:ilvl w:val="0"/>
          <w:numId w:val="9"/>
        </w:numPr>
        <w:spacing w:after="0"/>
        <w:jc w:val="both"/>
      </w:pPr>
      <w:r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14:paraId="2D7C460A" w14:textId="77777777" w:rsidR="00A3315B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14:paraId="1397C8AC" w14:textId="77777777" w:rsidR="000E298A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14:paraId="40FA3C8F" w14:textId="77777777" w:rsidR="000E298A" w:rsidRDefault="005C51F6" w:rsidP="000E298A">
      <w:pPr>
        <w:pStyle w:val="Akapitzlist"/>
        <w:numPr>
          <w:ilvl w:val="0"/>
          <w:numId w:val="9"/>
        </w:numPr>
        <w:spacing w:after="0"/>
        <w:jc w:val="both"/>
      </w:pPr>
      <w:r>
        <w:lastRenderedPageBreak/>
        <w:t>W</w:t>
      </w:r>
      <w:r w:rsidR="000E298A">
        <w:t>ydatki powyżej  5% całkowitych wydatków kwalifikowalnych na drogi dojazdowe do portów i/lub przystani – dot. schematu 4.4.H.</w:t>
      </w:r>
    </w:p>
    <w:p w14:paraId="5AF21E21" w14:textId="77777777" w:rsidR="001B7507" w:rsidRPr="00DD0783" w:rsidRDefault="001B7507" w:rsidP="00E0122E">
      <w:pPr>
        <w:spacing w:after="0"/>
        <w:jc w:val="both"/>
      </w:pPr>
    </w:p>
    <w:p w14:paraId="157AAC3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1E2D4D64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AFEAA87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26E0D58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1A6CB01B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56ACAC49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9"/>
      </w:r>
      <w:r w:rsidRPr="00DD0783">
        <w:t xml:space="preserve"> można uznać za kwalifikowalne zgodnie z poniższymi regułami:</w:t>
      </w:r>
    </w:p>
    <w:p w14:paraId="395A5A5D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5A498690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51BC27EA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5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5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3A542189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 xml:space="preserve">urządzenia techniczne drogi (np. bariery ochronne, ogrodzenie drogi i inne urządzenia zabezpieczające przed wkroczeniem zwierząt na drogę, osłony </w:t>
      </w:r>
      <w:proofErr w:type="spellStart"/>
      <w:r w:rsidRPr="00DD0783">
        <w:t>przeciwolśnieniowe</w:t>
      </w:r>
      <w:proofErr w:type="spellEnd"/>
      <w:r w:rsidRPr="00DD0783">
        <w:t>, osłony przeciwwietrzne) mogą stanowić wydatek kwalifikowalny do wysokości 25% wydatk</w:t>
      </w:r>
      <w:r w:rsidR="003B2988" w:rsidRPr="00DD0783">
        <w:t>ów kwalifikowalnych w projekcie;</w:t>
      </w:r>
    </w:p>
    <w:p w14:paraId="48976354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72CA703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lastRenderedPageBreak/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5B3F1078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1D67B16C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2E0E504E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762B928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00A14F3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4768A25C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42971C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14FF8444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2"/>
      </w:r>
      <w:r w:rsidRPr="00DD0783">
        <w:t>.</w:t>
      </w:r>
    </w:p>
    <w:p w14:paraId="2981E06C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3"/>
      </w:r>
      <w:r w:rsidRPr="00DD0783">
        <w:t xml:space="preserve"> – w 6.1 C, D, E.</w:t>
      </w:r>
    </w:p>
    <w:p w14:paraId="768B6027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5BF4BEF6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574EDAE0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072FB8B7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4"/>
      </w:r>
      <w:r w:rsidRPr="00DD0783">
        <w:t>.</w:t>
      </w:r>
    </w:p>
    <w:p w14:paraId="4CCE0930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5"/>
      </w:r>
      <w:r w:rsidRPr="00DD0783">
        <w:t>.</w:t>
      </w:r>
    </w:p>
    <w:p w14:paraId="174365EF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0FAA4018" w14:textId="77777777" w:rsidR="00897BAD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14:paraId="11698A06" w14:textId="77777777" w:rsidR="00A23F33" w:rsidRPr="00DD0783" w:rsidRDefault="00897BAD" w:rsidP="001B7507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14:paraId="18E0CF97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03888B4E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</w:t>
      </w:r>
      <w:proofErr w:type="spellStart"/>
      <w:r w:rsidRPr="00DD0783">
        <w:rPr>
          <w:rFonts w:eastAsia="Times New Roman" w:cs="Times New Roman"/>
        </w:rPr>
        <w:t>telemedycyny</w:t>
      </w:r>
      <w:proofErr w:type="spellEnd"/>
      <w:r w:rsidRPr="00DD0783">
        <w:rPr>
          <w:rFonts w:eastAsia="Times New Roman" w:cs="Times New Roman"/>
        </w:rPr>
        <w:t xml:space="preserve">. </w:t>
      </w:r>
    </w:p>
    <w:p w14:paraId="2854F2B3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5DEF7BD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476DE30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5DAA94A6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41584B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789217B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6"/>
      </w:r>
      <w:r w:rsidRPr="00DD0783">
        <w:t>.</w:t>
      </w:r>
    </w:p>
    <w:p w14:paraId="17A54F7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7"/>
      </w:r>
      <w:r w:rsidRPr="00DD0783">
        <w:t>.</w:t>
      </w:r>
    </w:p>
    <w:p w14:paraId="3BE5EBFC" w14:textId="77777777" w:rsidR="00A23F3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8"/>
      </w:r>
      <w:r w:rsidRPr="00DD0783">
        <w:t>.</w:t>
      </w:r>
    </w:p>
    <w:p w14:paraId="7E9AEA06" w14:textId="77777777" w:rsidR="005953E3" w:rsidRDefault="005953E3" w:rsidP="004F19B4">
      <w:pPr>
        <w:pStyle w:val="Akapitzlist"/>
        <w:jc w:val="both"/>
      </w:pPr>
    </w:p>
    <w:p w14:paraId="1810F353" w14:textId="77777777"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14:paraId="5D537677" w14:textId="77777777" w:rsidR="00897BAD" w:rsidRPr="00DD0783" w:rsidRDefault="00897BAD" w:rsidP="00897BAD">
      <w:pPr>
        <w:pStyle w:val="Akapitzlist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14:paraId="65F49FBA" w14:textId="77777777" w:rsidR="00F5436C" w:rsidRPr="00F5436C" w:rsidRDefault="00835E34" w:rsidP="00FD7901">
      <w:pPr>
        <w:pStyle w:val="Akapitzlist"/>
        <w:numPr>
          <w:ilvl w:val="0"/>
          <w:numId w:val="5"/>
        </w:numPr>
        <w:jc w:val="both"/>
      </w:pPr>
      <w:r w:rsidRPr="004F19B4">
        <w:lastRenderedPageBreak/>
        <w:t>Wydatki wykraczające poza zakres rzeczowy ustalony z wojewodą dolnośląskim</w:t>
      </w:r>
      <w:r w:rsidR="00F5436C">
        <w:t xml:space="preserve"> (</w:t>
      </w:r>
      <w:r w:rsidR="00FD7901">
        <w:t>n</w:t>
      </w:r>
      <w:r w:rsidR="00FD7901" w:rsidRPr="00FD7901">
        <w:rPr>
          <w:rFonts w:ascii="Calibri" w:hAnsi="Calibri"/>
        </w:rPr>
        <w:t>ie dotyczy wydatków na podstawowe obowiązki informacyjne w ramach projektu</w:t>
      </w:r>
      <w:r w:rsidR="00F5436C">
        <w:rPr>
          <w:rFonts w:ascii="Calibri" w:hAnsi="Calibri"/>
        </w:rPr>
        <w:t>)</w:t>
      </w:r>
      <w:r w:rsidR="00F5436C" w:rsidRPr="00F5436C">
        <w:rPr>
          <w:rFonts w:ascii="Calibri" w:hAnsi="Calibri"/>
        </w:rPr>
        <w:t>.</w:t>
      </w:r>
    </w:p>
    <w:p w14:paraId="74A07D02" w14:textId="77777777" w:rsidR="004F19B4" w:rsidRPr="00DD0783" w:rsidRDefault="004F19B4" w:rsidP="003B2988">
      <w:pPr>
        <w:pStyle w:val="Akapitzlist"/>
        <w:jc w:val="both"/>
      </w:pPr>
    </w:p>
    <w:p w14:paraId="4BE898C8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353A0F97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9"/>
      </w:r>
      <w:r w:rsidRPr="00DD0783">
        <w:t>.</w:t>
      </w:r>
    </w:p>
    <w:p w14:paraId="0F74F305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9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60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1"/>
      </w:r>
      <w:r w:rsidRPr="00DD0783">
        <w:t>.</w:t>
      </w:r>
      <w:bookmarkStart w:id="20" w:name="_Hlk493154503"/>
    </w:p>
    <w:p w14:paraId="149BAE28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6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63"/>
      </w:r>
      <w:r w:rsidRPr="00DD0783">
        <w:t xml:space="preserve">) </w:t>
      </w:r>
      <w:bookmarkEnd w:id="20"/>
      <w:r w:rsidRPr="00DD0783">
        <w:rPr>
          <w:rStyle w:val="Odwoanieprzypisudolnego"/>
        </w:rPr>
        <w:footnoteReference w:id="64"/>
      </w:r>
      <w:r w:rsidRPr="00DD0783">
        <w:t>.</w:t>
      </w:r>
    </w:p>
    <w:p w14:paraId="3374F5DF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5"/>
      </w:r>
      <w:r w:rsidR="00981291" w:rsidRPr="00DD0783">
        <w:t>.</w:t>
      </w:r>
    </w:p>
    <w:p w14:paraId="29092E7A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6048B637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60834926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279A299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603A908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6"/>
      </w:r>
      <w:r w:rsidRPr="00DD0783">
        <w:rPr>
          <w:rFonts w:eastAsia="Times New Roman" w:cs="Times New Roman"/>
        </w:rPr>
        <w:t>.</w:t>
      </w:r>
    </w:p>
    <w:p w14:paraId="41C82D0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3773CA5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70266E4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>.</w:t>
      </w:r>
    </w:p>
    <w:p w14:paraId="0D61919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731BABD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79D4535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3774C8EA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14:paraId="164C7780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0E912FB6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72E01428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72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73"/>
      </w:r>
      <w:r w:rsidRPr="00DD0783">
        <w:t>.</w:t>
      </w:r>
    </w:p>
    <w:p w14:paraId="197247D5" w14:textId="77777777" w:rsidR="00A23F3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4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5"/>
      </w:r>
      <w:r w:rsidRPr="00DD0783">
        <w:rPr>
          <w:rFonts w:eastAsia="Times New Roman" w:cs="Times New Roman"/>
        </w:rPr>
        <w:t>.</w:t>
      </w:r>
    </w:p>
    <w:p w14:paraId="503A6F40" w14:textId="77777777" w:rsidR="009828BB" w:rsidRPr="00DD0783" w:rsidRDefault="009828BB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Odwoanieprzypisudolnego"/>
          <w:rFonts w:eastAsia="Times New Roman" w:cs="Times New Roman"/>
        </w:rPr>
        <w:footnoteReference w:id="76"/>
      </w:r>
      <w:r>
        <w:rPr>
          <w:rFonts w:eastAsia="Times New Roman" w:cs="Times New Roman"/>
        </w:rPr>
        <w:t>.</w:t>
      </w:r>
    </w:p>
    <w:p w14:paraId="6CCABEEB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390B20F4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7AFBF38C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7"/>
      </w:r>
      <w:r w:rsidRPr="00DD0783">
        <w:rPr>
          <w:rFonts w:eastAsia="Times New Roman" w:cs="Times New Roman"/>
        </w:rPr>
        <w:t>.</w:t>
      </w:r>
    </w:p>
    <w:p w14:paraId="2EBB49EE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621003E7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1B72A9F5" w14:textId="77777777" w:rsidR="00025329" w:rsidRP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14:paraId="18EEEB35" w14:textId="77777777" w:rsidR="00526548" w:rsidRDefault="00526548" w:rsidP="00F67081">
      <w:pPr>
        <w:pBdr>
          <w:top w:val="single" w:sz="4" w:space="1" w:color="auto"/>
        </w:pBdr>
        <w:tabs>
          <w:tab w:val="left" w:pos="5330"/>
        </w:tabs>
        <w:spacing w:after="0" w:line="240" w:lineRule="auto"/>
        <w:jc w:val="center"/>
        <w:rPr>
          <w:b/>
        </w:rPr>
      </w:pPr>
    </w:p>
    <w:p w14:paraId="20C20382" w14:textId="77777777"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4E0D4EFE" w14:textId="77777777"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14:paraId="6F9C4C06" w14:textId="77777777"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14:paraId="5A1D75A5" w14:textId="77777777"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14:paraId="37371156" w14:textId="77777777"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14:paraId="56A0D447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14:paraId="72FC7EEF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14:paraId="5B9E7A2E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14:paraId="69C20B27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432CC34" w14:textId="77777777"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14:paraId="3BD0DC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6A627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14:paraId="3F4FFA3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A40024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04A42AE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90E699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14:paraId="28F5638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F8092F" w14:textId="77777777"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14:paraId="0E85336F" w14:textId="77777777"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14:paraId="2712D742" w14:textId="77777777"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14:paraId="18D8BFB8" w14:textId="77777777"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4E3FA6EC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7AF38499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14:paraId="6B32CBC1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14:paraId="16BF93CA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14:paraId="4E957CC8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14:paraId="57E0DAAC" w14:textId="77777777"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31E667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5D60E92A" w14:textId="77777777"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14:paraId="69DDD1B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14:paraId="7DC4258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lastRenderedPageBreak/>
        <w:t>wydatki związane z otworzeniem lub prowadzeniem wyodrębnionego na rzecz projektu subkonta na rachunku bankowym lub odrębnego rachunku bankowego,</w:t>
      </w:r>
    </w:p>
    <w:p w14:paraId="68E1E059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 xml:space="preserve">zarządzania projektem 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14:paraId="3C68AAD9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166F0B9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14:paraId="3D1D7C7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14:paraId="2F3DF4A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14:paraId="76DF35FB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14:paraId="6C26C86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14:paraId="26E413A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16D3CD7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567DD3C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14:paraId="34323DB4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14:paraId="0675F604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14:paraId="766B9FD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14:paraId="19DFD147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14:paraId="3A6C4013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65E2E3FA" w14:textId="77777777"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14:paraId="4C50EE2C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14:paraId="57CDED97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1220B15F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0B413220" w14:textId="77777777"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5F2CBA55" w14:textId="77777777"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 xml:space="preserve">de </w:t>
      </w:r>
      <w:proofErr w:type="spellStart"/>
      <w:r w:rsidRPr="00F67081">
        <w:rPr>
          <w:rFonts w:cs="Calibri"/>
          <w:i/>
        </w:rPr>
        <w:t>minimis</w:t>
      </w:r>
      <w:proofErr w:type="spellEnd"/>
      <w:r w:rsidRPr="00BA7DC6">
        <w:rPr>
          <w:rFonts w:cs="Calibri"/>
        </w:rPr>
        <w:t>.</w:t>
      </w:r>
    </w:p>
    <w:p w14:paraId="51F53E5F" w14:textId="77777777"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4866A7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14:paraId="2526E7B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09551C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</w:t>
      </w:r>
      <w:proofErr w:type="spellStart"/>
      <w:r w:rsidRPr="00025329">
        <w:rPr>
          <w:rFonts w:cs="Calibri"/>
          <w:i/>
        </w:rPr>
        <w:t>financing</w:t>
      </w:r>
      <w:proofErr w:type="spellEnd"/>
      <w:r w:rsidRPr="007C5B38">
        <w:rPr>
          <w:rFonts w:cs="Calibri"/>
        </w:rPr>
        <w:t>.</w:t>
      </w:r>
    </w:p>
    <w:p w14:paraId="5B6FB68E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7BB4F4F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17DE6EDB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4B4F8347" w14:textId="77777777"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46C0BB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000A4BE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60F211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2D74EAA3" w14:textId="77777777"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95A45A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14:paraId="1730159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AB8A1DD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14:paraId="08265FA0" w14:textId="77777777"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2F236A" w14:textId="77777777"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026E6C62" w14:textId="77777777"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1409B08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6885AED" w14:textId="77777777"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14:paraId="3814F87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78D845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14:paraId="2B1AC88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D8BFBD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14:paraId="3E488F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A8287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lastRenderedPageBreak/>
        <w:t>gdzie:</w:t>
      </w:r>
    </w:p>
    <w:p w14:paraId="4E25A65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156B1F2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14:paraId="49975F1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14:paraId="4F286846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C351A9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14:paraId="7C4B33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C0D65D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14:paraId="59085373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F76501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14:paraId="68EBA97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3D0568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5A934F6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14:paraId="605A19A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7B960EF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14:paraId="46C87BD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14:paraId="144388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14:paraId="716703F4" w14:textId="77777777" w:rsidTr="00843D11">
        <w:tc>
          <w:tcPr>
            <w:tcW w:w="9062" w:type="dxa"/>
          </w:tcPr>
          <w:p w14:paraId="7DD6771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14:paraId="27A3D35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2EED784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14:paraId="2FCEBDE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14:paraId="2958A77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491DDB9F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14:paraId="197F369C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405EBBF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D5DBC8A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14:paraId="6016AA6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09370E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135F3F10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80306EE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14:paraId="372DA231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14:paraId="69BD83A8" w14:textId="77777777" w:rsidTr="00F67081">
              <w:tc>
                <w:tcPr>
                  <w:tcW w:w="4606" w:type="dxa"/>
                </w:tcPr>
                <w:p w14:paraId="6CB4017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50A875D6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14:paraId="565440F6" w14:textId="77777777" w:rsidTr="00F67081">
              <w:tc>
                <w:tcPr>
                  <w:tcW w:w="4606" w:type="dxa"/>
                </w:tcPr>
                <w:p w14:paraId="2670B9F8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4D9B353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21EBE285" w14:textId="77777777" w:rsidTr="00F67081">
              <w:tc>
                <w:tcPr>
                  <w:tcW w:w="4606" w:type="dxa"/>
                </w:tcPr>
                <w:p w14:paraId="794D04F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1AC5662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3A467456" w14:textId="77777777" w:rsidTr="00F67081">
              <w:tc>
                <w:tcPr>
                  <w:tcW w:w="4606" w:type="dxa"/>
                </w:tcPr>
                <w:p w14:paraId="715DDCA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38E813A5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00AEF013" w14:textId="77777777" w:rsidTr="00F67081">
              <w:tc>
                <w:tcPr>
                  <w:tcW w:w="4606" w:type="dxa"/>
                </w:tcPr>
                <w:p w14:paraId="3BE9E773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14:paraId="1761095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14:paraId="523CAA3F" w14:textId="77777777"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7C5C0634" w14:textId="77777777"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14:paraId="180FACA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2C5ED2F1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4CCF2657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1FEB9B0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14:paraId="642665D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01E895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1E883922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B04955B" w14:textId="77777777"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14:paraId="29E2B341" w14:textId="77777777"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14:paraId="79038D5E" w14:textId="77777777"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</w:t>
      </w:r>
      <w:proofErr w:type="spellStart"/>
      <w:r>
        <w:rPr>
          <w:rFonts w:cs="Calibri"/>
        </w:rPr>
        <w:t>poprzetargowych</w:t>
      </w:r>
      <w:proofErr w:type="spellEnd"/>
      <w:r>
        <w:rPr>
          <w:rFonts w:cs="Calibri"/>
        </w:rPr>
        <w:t xml:space="preserve">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1853374D" w14:textId="77777777"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5EA9C" w14:textId="77777777" w:rsidR="00A427CD" w:rsidRDefault="00A427CD" w:rsidP="00BA376B">
      <w:pPr>
        <w:spacing w:after="0" w:line="240" w:lineRule="auto"/>
      </w:pPr>
      <w:r>
        <w:separator/>
      </w:r>
    </w:p>
  </w:endnote>
  <w:endnote w:type="continuationSeparator" w:id="0">
    <w:p w14:paraId="629AD487" w14:textId="77777777" w:rsidR="00A427CD" w:rsidRDefault="00A427CD" w:rsidP="00BA376B">
      <w:pPr>
        <w:spacing w:after="0" w:line="240" w:lineRule="auto"/>
      </w:pPr>
      <w:r>
        <w:continuationSeparator/>
      </w:r>
    </w:p>
  </w:endnote>
  <w:endnote w:type="continuationNotice" w:id="1">
    <w:p w14:paraId="45ACA2DC" w14:textId="77777777" w:rsidR="00A427CD" w:rsidRDefault="00A427CD">
      <w:pPr>
        <w:spacing w:after="0" w:line="240" w:lineRule="auto"/>
      </w:pPr>
    </w:p>
  </w:endnote>
  <w:endnote w:id="2">
    <w:p w14:paraId="16811486" w14:textId="77777777" w:rsidR="00A427CD" w:rsidRPr="002D3C6C" w:rsidRDefault="00A427CD" w:rsidP="00C5419D">
      <w:pPr>
        <w:pStyle w:val="Tekstprzypisukocowego"/>
        <w:jc w:val="both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732661"/>
      <w:docPartObj>
        <w:docPartGallery w:val="Page Numbers (Bottom of Page)"/>
        <w:docPartUnique/>
      </w:docPartObj>
    </w:sdtPr>
    <w:sdtEndPr/>
    <w:sdtContent>
      <w:p w14:paraId="2A7AE4AD" w14:textId="77777777" w:rsidR="00A427CD" w:rsidRDefault="00A427C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4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A39C2F" w14:textId="77777777" w:rsidR="00A427CD" w:rsidRDefault="00A427CD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65B0D" w14:textId="77777777" w:rsidR="00A427CD" w:rsidRDefault="00A427CD" w:rsidP="00BA376B">
      <w:pPr>
        <w:spacing w:after="0" w:line="240" w:lineRule="auto"/>
      </w:pPr>
      <w:r>
        <w:separator/>
      </w:r>
    </w:p>
  </w:footnote>
  <w:footnote w:type="continuationSeparator" w:id="0">
    <w:p w14:paraId="1EF64D19" w14:textId="77777777" w:rsidR="00A427CD" w:rsidRDefault="00A427CD" w:rsidP="00BA376B">
      <w:pPr>
        <w:spacing w:after="0" w:line="240" w:lineRule="auto"/>
      </w:pPr>
      <w:r>
        <w:continuationSeparator/>
      </w:r>
    </w:p>
  </w:footnote>
  <w:footnote w:type="continuationNotice" w:id="1">
    <w:p w14:paraId="7CC421C7" w14:textId="77777777" w:rsidR="00A427CD" w:rsidRDefault="00A427CD">
      <w:pPr>
        <w:spacing w:after="0" w:line="240" w:lineRule="auto"/>
      </w:pPr>
    </w:p>
  </w:footnote>
  <w:footnote w:id="2">
    <w:p w14:paraId="0E3F0519" w14:textId="77777777" w:rsidR="00A427CD" w:rsidRPr="00013AFB" w:rsidRDefault="00A427CD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14:paraId="22B33BC4" w14:textId="77777777" w:rsidR="00A427CD" w:rsidRDefault="00A427CD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7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7"/>
    </w:p>
  </w:footnote>
  <w:footnote w:id="4">
    <w:p w14:paraId="5108A412" w14:textId="77777777" w:rsidR="00A427CD" w:rsidRPr="00013AFB" w:rsidRDefault="00A427CD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538B2685" w14:textId="77777777" w:rsidR="00A427CD" w:rsidRPr="00013AFB" w:rsidRDefault="00A427CD" w:rsidP="00013AFB">
      <w:pPr>
        <w:pStyle w:val="Tekstprzypisudolnego"/>
        <w:jc w:val="both"/>
        <w:rPr>
          <w:b/>
        </w:rPr>
      </w:pPr>
    </w:p>
  </w:footnote>
  <w:footnote w:id="5">
    <w:p w14:paraId="1C51B04F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przed 1 lutego 2020 r. – w przypadku działań mających na celu</w:t>
      </w:r>
      <w:r w:rsidRPr="00EF14EA">
        <w:t xml:space="preserve"> poprawę sytuacji epidemiologicznej w związku z </w:t>
      </w:r>
      <w:proofErr w:type="spellStart"/>
      <w:r w:rsidRPr="00EF14EA">
        <w:t>koronawirusem</w:t>
      </w:r>
      <w:proofErr w:type="spellEnd"/>
      <w:r w:rsidRPr="00EF14EA">
        <w:t xml:space="preserve"> (projektów typu 6.2 C)</w:t>
      </w:r>
      <w:r>
        <w:t>.</w:t>
      </w:r>
    </w:p>
  </w:footnote>
  <w:footnote w:id="6">
    <w:p w14:paraId="04E58113" w14:textId="77777777" w:rsidR="00A427CD" w:rsidRPr="00013AFB" w:rsidRDefault="00A427C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7395561E" w14:textId="77777777" w:rsidR="00A427CD" w:rsidRPr="00013AFB" w:rsidRDefault="00A427CD">
      <w:pPr>
        <w:pStyle w:val="Tekstprzypisudolnego"/>
      </w:pPr>
    </w:p>
  </w:footnote>
  <w:footnote w:id="7">
    <w:p w14:paraId="4315C126" w14:textId="77777777" w:rsidR="00A427CD" w:rsidRDefault="00A427CD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8">
    <w:p w14:paraId="349F9936" w14:textId="77777777" w:rsidR="00A427CD" w:rsidRPr="00013AFB" w:rsidRDefault="00A427C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9">
    <w:p w14:paraId="69C56E41" w14:textId="77777777" w:rsidR="00A427CD" w:rsidRDefault="00A427CD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0">
    <w:p w14:paraId="562391F2" w14:textId="77777777" w:rsidR="00A427CD" w:rsidRDefault="00A427CD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1">
    <w:p w14:paraId="2DA2E50E" w14:textId="77777777" w:rsidR="00A427CD" w:rsidRPr="00013AFB" w:rsidRDefault="00A427C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2">
    <w:p w14:paraId="5D3A1264" w14:textId="77777777" w:rsidR="00A427CD" w:rsidRPr="00013AFB" w:rsidRDefault="00A427C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3">
    <w:p w14:paraId="17E06B09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naborów do działania 1.1 ogłaszanych od października 2019 r. </w:t>
      </w:r>
    </w:p>
  </w:footnote>
  <w:footnote w:id="14">
    <w:p w14:paraId="1776F08B" w14:textId="77777777"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5">
    <w:p w14:paraId="48F6C7C8" w14:textId="77777777"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8" w:name="_Hlk493167426"/>
      <w:r w:rsidRPr="002E11F5">
        <w:t>Dla konkursów ogłaszanych od dnia 23.11.2015 r. – zapis nieobowiązujący.</w:t>
      </w:r>
      <w:bookmarkEnd w:id="8"/>
    </w:p>
  </w:footnote>
  <w:footnote w:id="16">
    <w:p w14:paraId="3E5B21D7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7">
    <w:p w14:paraId="492E1B4F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8">
    <w:p w14:paraId="08DA7640" w14:textId="77777777"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14:paraId="3FF732D7" w14:textId="77777777" w:rsidR="00A427CD" w:rsidRPr="002E11F5" w:rsidRDefault="00A427C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10" w:name="_Hlk492628914"/>
      <w:r w:rsidRPr="002E11F5">
        <w:t>Dotyczy konkursów ogłaszanych od dnia 28.12.2015 r.</w:t>
      </w:r>
      <w:bookmarkEnd w:id="10"/>
      <w:r w:rsidRPr="002E11F5">
        <w:t xml:space="preserve"> Dla konkursów ogłaszanych przed 28.12.2015 r. – zapis nieobowiązujący.</w:t>
      </w:r>
    </w:p>
  </w:footnote>
  <w:footnote w:id="20">
    <w:p w14:paraId="096647C9" w14:textId="77777777" w:rsidR="00A427CD" w:rsidRPr="00013AFB" w:rsidRDefault="00A427C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21">
    <w:p w14:paraId="33DCB027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2">
    <w:p w14:paraId="345EA29C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14:paraId="2D90F75E" w14:textId="77777777" w:rsidR="00A427CD" w:rsidRPr="002E11F5" w:rsidRDefault="00A427C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4">
    <w:p w14:paraId="2D6E8992" w14:textId="77777777" w:rsidR="00A427CD" w:rsidRPr="00013AFB" w:rsidRDefault="00A427CD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5">
    <w:p w14:paraId="04A07744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3575490"/>
      <w:r w:rsidRPr="00013AFB">
        <w:t>Dotyczy konkursów ogłaszanych od dnia 28.12.2015 r. Dla konkursów ogłaszanych przed 28.12.2015 r. – zapis nieobowiązujący.</w:t>
      </w:r>
      <w:bookmarkEnd w:id="13"/>
    </w:p>
  </w:footnote>
  <w:footnote w:id="26">
    <w:p w14:paraId="1B0C1B49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7">
    <w:p w14:paraId="3A7F801C" w14:textId="77777777" w:rsidR="00A427CD" w:rsidRPr="00013AFB" w:rsidRDefault="00A427CD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8">
    <w:p w14:paraId="48627BAD" w14:textId="77777777" w:rsidR="00A427CD" w:rsidRPr="00013AFB" w:rsidRDefault="00A427CD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9">
    <w:p w14:paraId="052F7CF5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0">
    <w:p w14:paraId="09D98612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1">
    <w:p w14:paraId="78F90374" w14:textId="282C3AA7" w:rsidR="00A427CD" w:rsidRDefault="00A427CD" w:rsidP="002B26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>
        <w:rPr>
          <w:rFonts w:eastAsia="Times New Roman" w:cs="Times New Roman"/>
        </w:rPr>
        <w:t xml:space="preserve"> oraz konkursu ogłoszonego w dniu 22.09.2020 r.</w:t>
      </w:r>
      <w:r w:rsidR="002B261F">
        <w:rPr>
          <w:rFonts w:eastAsia="Times New Roman" w:cs="Times New Roman"/>
        </w:rPr>
        <w:t>, a</w:t>
      </w:r>
      <w:r w:rsidR="002B261F">
        <w:rPr>
          <w:rFonts w:eastAsia="Times New Roman" w:cs="Times New Roman"/>
        </w:rPr>
        <w:t> </w:t>
      </w:r>
      <w:r w:rsidR="002B261F">
        <w:rPr>
          <w:rFonts w:eastAsia="Times New Roman" w:cs="Times New Roman"/>
        </w:rPr>
        <w:t>także konkursu ogłaszanego w dniu 6 lipca 2021 r.</w:t>
      </w:r>
    </w:p>
  </w:footnote>
  <w:footnote w:id="32">
    <w:p w14:paraId="04066BB6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3">
    <w:p w14:paraId="055ECE42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4">
    <w:p w14:paraId="211B62BD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5">
    <w:p w14:paraId="32A7BF4F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6">
    <w:p w14:paraId="6862FA96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7">
    <w:p w14:paraId="383431DF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8">
    <w:p w14:paraId="456A08A2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9">
    <w:p w14:paraId="0FDA19C7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0">
    <w:p w14:paraId="3D1BA27D" w14:textId="77777777" w:rsidR="00A427CD" w:rsidRDefault="00A427CD" w:rsidP="00E0122E">
      <w:pPr>
        <w:pStyle w:val="Tekstprzypisudolnego"/>
        <w:tabs>
          <w:tab w:val="left" w:pos="5490"/>
        </w:tabs>
      </w:pPr>
      <w:r>
        <w:rPr>
          <w:rStyle w:val="Odwoanieprzypisudolnego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1">
    <w:p w14:paraId="68355BEA" w14:textId="77777777" w:rsidR="00A427CD" w:rsidRPr="00013AFB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42">
    <w:p w14:paraId="62141D49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3">
    <w:p w14:paraId="38B46E55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4">
    <w:p w14:paraId="7CF99388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5">
    <w:p w14:paraId="0D9DD4C0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6">
    <w:p w14:paraId="7AF78577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7">
    <w:p w14:paraId="04C81D85" w14:textId="77777777" w:rsidR="00A427CD" w:rsidRPr="00BF181E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48">
    <w:p w14:paraId="0C213164" w14:textId="77777777" w:rsidR="00A427CD" w:rsidRPr="00013AFB" w:rsidRDefault="00A427CD">
      <w:pPr>
        <w:pStyle w:val="Tekstprzypisudolnego"/>
      </w:pPr>
      <w:r w:rsidRPr="00BF181E">
        <w:rPr>
          <w:rStyle w:val="Odwoanieprzypisudolnego"/>
        </w:rPr>
        <w:footnoteRef/>
      </w:r>
      <w:r w:rsidRPr="00BF181E">
        <w:t xml:space="preserve"> 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49">
    <w:p w14:paraId="70707409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0">
    <w:p w14:paraId="25206BA4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1">
    <w:p w14:paraId="67CE3B7B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2">
    <w:p w14:paraId="6DCCD3C5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14:paraId="65E51098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4">
    <w:p w14:paraId="1FBA83F1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5">
    <w:p w14:paraId="51647D88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6">
    <w:p w14:paraId="1730A11A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7">
    <w:p w14:paraId="3FA11BFE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8">
    <w:p w14:paraId="22BBA5EF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9">
    <w:p w14:paraId="13D98051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0">
    <w:p w14:paraId="1A1C69A3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1">
    <w:p w14:paraId="4F0D4D42" w14:textId="77777777" w:rsidR="00A427CD" w:rsidRPr="00042236" w:rsidRDefault="00A427C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2">
    <w:p w14:paraId="4C59BBE9" w14:textId="77777777" w:rsidR="00A427CD" w:rsidRPr="00042236" w:rsidRDefault="00A427CD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63">
    <w:p w14:paraId="298AB8CE" w14:textId="77777777" w:rsidR="00A427CD" w:rsidRPr="00042236" w:rsidRDefault="00A427CD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4">
    <w:p w14:paraId="49E08489" w14:textId="77777777" w:rsidR="00A427CD" w:rsidRPr="00042236" w:rsidRDefault="00A427CD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5">
    <w:p w14:paraId="45496378" w14:textId="77777777" w:rsidR="00A427CD" w:rsidRPr="00042236" w:rsidRDefault="00A427CD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6">
    <w:p w14:paraId="2B79DB6C" w14:textId="77777777"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7">
    <w:p w14:paraId="7CE37621" w14:textId="77777777"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8">
    <w:p w14:paraId="3D37BD29" w14:textId="77777777"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9">
    <w:p w14:paraId="1E609A66" w14:textId="77777777" w:rsidR="00A427CD" w:rsidRPr="00042236" w:rsidRDefault="00A427C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0">
    <w:p w14:paraId="7B0FFFFC" w14:textId="77777777" w:rsidR="00A427CD" w:rsidRPr="00013AFB" w:rsidRDefault="00A427CD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1">
    <w:p w14:paraId="2FDC6AF2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2">
    <w:p w14:paraId="35FF9E41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3">
    <w:p w14:paraId="2A670360" w14:textId="77777777" w:rsidR="00A427CD" w:rsidRDefault="00A427CD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4">
    <w:p w14:paraId="4CF93298" w14:textId="77777777" w:rsidR="00A427CD" w:rsidRPr="00013AFB" w:rsidRDefault="00A427C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5">
    <w:p w14:paraId="0F16DE51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6">
    <w:p w14:paraId="7B5B8EE2" w14:textId="77777777" w:rsidR="00A427CD" w:rsidRDefault="00A42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7">
    <w:p w14:paraId="02855C8E" w14:textId="77777777" w:rsidR="00A427CD" w:rsidRPr="00013AFB" w:rsidRDefault="00A427C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02FB8" w14:textId="77777777" w:rsidR="00A427CD" w:rsidRDefault="00A427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45634"/>
    <w:multiLevelType w:val="hybridMultilevel"/>
    <w:tmpl w:val="91167C26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56939"/>
    <w:multiLevelType w:val="hybridMultilevel"/>
    <w:tmpl w:val="DFB23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6151D"/>
    <w:multiLevelType w:val="hybridMultilevel"/>
    <w:tmpl w:val="4C106EB0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027DE"/>
    <w:multiLevelType w:val="hybridMultilevel"/>
    <w:tmpl w:val="F2728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6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80BF6"/>
    <w:multiLevelType w:val="hybridMultilevel"/>
    <w:tmpl w:val="182A5852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18"/>
  </w:num>
  <w:num w:numId="7">
    <w:abstractNumId w:val="0"/>
  </w:num>
  <w:num w:numId="8">
    <w:abstractNumId w:val="11"/>
  </w:num>
  <w:num w:numId="9">
    <w:abstractNumId w:val="41"/>
  </w:num>
  <w:num w:numId="10">
    <w:abstractNumId w:val="28"/>
  </w:num>
  <w:num w:numId="11">
    <w:abstractNumId w:val="21"/>
  </w:num>
  <w:num w:numId="12">
    <w:abstractNumId w:val="19"/>
  </w:num>
  <w:num w:numId="13">
    <w:abstractNumId w:val="38"/>
  </w:num>
  <w:num w:numId="14">
    <w:abstractNumId w:val="9"/>
  </w:num>
  <w:num w:numId="15">
    <w:abstractNumId w:val="32"/>
  </w:num>
  <w:num w:numId="16">
    <w:abstractNumId w:val="36"/>
  </w:num>
  <w:num w:numId="17">
    <w:abstractNumId w:val="34"/>
  </w:num>
  <w:num w:numId="18">
    <w:abstractNumId w:val="40"/>
  </w:num>
  <w:num w:numId="19">
    <w:abstractNumId w:val="26"/>
  </w:num>
  <w:num w:numId="20">
    <w:abstractNumId w:val="16"/>
  </w:num>
  <w:num w:numId="21">
    <w:abstractNumId w:val="7"/>
  </w:num>
  <w:num w:numId="22">
    <w:abstractNumId w:val="2"/>
  </w:num>
  <w:num w:numId="23">
    <w:abstractNumId w:val="31"/>
  </w:num>
  <w:num w:numId="24">
    <w:abstractNumId w:val="37"/>
  </w:num>
  <w:num w:numId="25">
    <w:abstractNumId w:val="8"/>
  </w:num>
  <w:num w:numId="26">
    <w:abstractNumId w:val="35"/>
  </w:num>
  <w:num w:numId="27">
    <w:abstractNumId w:val="17"/>
  </w:num>
  <w:num w:numId="28">
    <w:abstractNumId w:val="22"/>
  </w:num>
  <w:num w:numId="29">
    <w:abstractNumId w:val="44"/>
  </w:num>
  <w:num w:numId="30">
    <w:abstractNumId w:val="43"/>
  </w:num>
  <w:num w:numId="31">
    <w:abstractNumId w:val="0"/>
  </w:num>
  <w:num w:numId="32">
    <w:abstractNumId w:val="10"/>
  </w:num>
  <w:num w:numId="33">
    <w:abstractNumId w:val="29"/>
  </w:num>
  <w:num w:numId="34">
    <w:abstractNumId w:val="6"/>
  </w:num>
  <w:num w:numId="35">
    <w:abstractNumId w:val="33"/>
  </w:num>
  <w:num w:numId="36">
    <w:abstractNumId w:val="45"/>
  </w:num>
  <w:num w:numId="37">
    <w:abstractNumId w:val="23"/>
  </w:num>
  <w:num w:numId="38">
    <w:abstractNumId w:val="30"/>
  </w:num>
  <w:num w:numId="39">
    <w:abstractNumId w:val="25"/>
  </w:num>
  <w:num w:numId="40">
    <w:abstractNumId w:val="42"/>
  </w:num>
  <w:num w:numId="41">
    <w:abstractNumId w:val="24"/>
  </w:num>
  <w:num w:numId="42">
    <w:abstractNumId w:val="27"/>
  </w:num>
  <w:num w:numId="43">
    <w:abstractNumId w:val="3"/>
  </w:num>
  <w:num w:numId="44">
    <w:abstractNumId w:val="14"/>
  </w:num>
  <w:num w:numId="45">
    <w:abstractNumId w:val="12"/>
  </w:num>
  <w:num w:numId="46">
    <w:abstractNumId w:val="20"/>
  </w:num>
  <w:num w:numId="47">
    <w:abstractNumId w:val="36"/>
  </w:num>
  <w:num w:numId="48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329"/>
    <w:rsid w:val="00025963"/>
    <w:rsid w:val="00026983"/>
    <w:rsid w:val="0003417B"/>
    <w:rsid w:val="0003532D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A7F5D"/>
    <w:rsid w:val="000B01E1"/>
    <w:rsid w:val="000B0270"/>
    <w:rsid w:val="000B05FD"/>
    <w:rsid w:val="000B129E"/>
    <w:rsid w:val="000B469C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1A11"/>
    <w:rsid w:val="000E1DB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07FC0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522"/>
    <w:rsid w:val="00133D89"/>
    <w:rsid w:val="00134C78"/>
    <w:rsid w:val="001360A7"/>
    <w:rsid w:val="00144BB9"/>
    <w:rsid w:val="001450C1"/>
    <w:rsid w:val="00145381"/>
    <w:rsid w:val="00146477"/>
    <w:rsid w:val="00154A82"/>
    <w:rsid w:val="00157F1C"/>
    <w:rsid w:val="00161A28"/>
    <w:rsid w:val="001639F2"/>
    <w:rsid w:val="00165F60"/>
    <w:rsid w:val="00166557"/>
    <w:rsid w:val="00167871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68EE"/>
    <w:rsid w:val="001B07A5"/>
    <w:rsid w:val="001B1966"/>
    <w:rsid w:val="001B53D6"/>
    <w:rsid w:val="001B568C"/>
    <w:rsid w:val="001B56C8"/>
    <w:rsid w:val="001B56D3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955DC"/>
    <w:rsid w:val="002A1E9F"/>
    <w:rsid w:val="002A3B5A"/>
    <w:rsid w:val="002A43EF"/>
    <w:rsid w:val="002A5D3C"/>
    <w:rsid w:val="002B102C"/>
    <w:rsid w:val="002B261F"/>
    <w:rsid w:val="002B4DBE"/>
    <w:rsid w:val="002B7AA0"/>
    <w:rsid w:val="002C0ECC"/>
    <w:rsid w:val="002C2D96"/>
    <w:rsid w:val="002C3185"/>
    <w:rsid w:val="002C50D4"/>
    <w:rsid w:val="002C5B11"/>
    <w:rsid w:val="002C7271"/>
    <w:rsid w:val="002D017D"/>
    <w:rsid w:val="002D1D46"/>
    <w:rsid w:val="002D3C6C"/>
    <w:rsid w:val="002D597F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04DB"/>
    <w:rsid w:val="002F108B"/>
    <w:rsid w:val="002F212C"/>
    <w:rsid w:val="002F2152"/>
    <w:rsid w:val="002F21B3"/>
    <w:rsid w:val="002F4911"/>
    <w:rsid w:val="002F5739"/>
    <w:rsid w:val="00300834"/>
    <w:rsid w:val="00302A87"/>
    <w:rsid w:val="003049DC"/>
    <w:rsid w:val="00304F3E"/>
    <w:rsid w:val="00306106"/>
    <w:rsid w:val="003128AA"/>
    <w:rsid w:val="00312EA2"/>
    <w:rsid w:val="00315AD7"/>
    <w:rsid w:val="00316F35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4694E"/>
    <w:rsid w:val="00351541"/>
    <w:rsid w:val="0035191C"/>
    <w:rsid w:val="00352F66"/>
    <w:rsid w:val="00355BD0"/>
    <w:rsid w:val="0035767B"/>
    <w:rsid w:val="003636F1"/>
    <w:rsid w:val="003660EA"/>
    <w:rsid w:val="00366375"/>
    <w:rsid w:val="00366BA4"/>
    <w:rsid w:val="00370D86"/>
    <w:rsid w:val="00372F2E"/>
    <w:rsid w:val="003730EB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46BC"/>
    <w:rsid w:val="003A6B11"/>
    <w:rsid w:val="003A7603"/>
    <w:rsid w:val="003B0F95"/>
    <w:rsid w:val="003B200E"/>
    <w:rsid w:val="003B2988"/>
    <w:rsid w:val="003B5299"/>
    <w:rsid w:val="003B76E4"/>
    <w:rsid w:val="003C1C25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6C3"/>
    <w:rsid w:val="00424DB0"/>
    <w:rsid w:val="00426F75"/>
    <w:rsid w:val="00430CB4"/>
    <w:rsid w:val="00431815"/>
    <w:rsid w:val="0043438C"/>
    <w:rsid w:val="0043775A"/>
    <w:rsid w:val="00437EDB"/>
    <w:rsid w:val="00440827"/>
    <w:rsid w:val="00442ACB"/>
    <w:rsid w:val="004455BC"/>
    <w:rsid w:val="0044751A"/>
    <w:rsid w:val="00450260"/>
    <w:rsid w:val="00450CD0"/>
    <w:rsid w:val="0045119D"/>
    <w:rsid w:val="0045127E"/>
    <w:rsid w:val="00454E85"/>
    <w:rsid w:val="00455244"/>
    <w:rsid w:val="004560EA"/>
    <w:rsid w:val="00461BC0"/>
    <w:rsid w:val="00467A9A"/>
    <w:rsid w:val="004721FD"/>
    <w:rsid w:val="004739A6"/>
    <w:rsid w:val="00474CDD"/>
    <w:rsid w:val="00476F64"/>
    <w:rsid w:val="004776FD"/>
    <w:rsid w:val="00480147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B54DB"/>
    <w:rsid w:val="004D2944"/>
    <w:rsid w:val="004D36A9"/>
    <w:rsid w:val="004D6239"/>
    <w:rsid w:val="004D633F"/>
    <w:rsid w:val="004E2152"/>
    <w:rsid w:val="004E3624"/>
    <w:rsid w:val="004E4F5F"/>
    <w:rsid w:val="004E5DB2"/>
    <w:rsid w:val="004F01DC"/>
    <w:rsid w:val="004F19B4"/>
    <w:rsid w:val="004F2BAD"/>
    <w:rsid w:val="004F3C6C"/>
    <w:rsid w:val="00503959"/>
    <w:rsid w:val="005100D3"/>
    <w:rsid w:val="00513F17"/>
    <w:rsid w:val="00513FA5"/>
    <w:rsid w:val="0051513D"/>
    <w:rsid w:val="0051723A"/>
    <w:rsid w:val="005207CF"/>
    <w:rsid w:val="00523226"/>
    <w:rsid w:val="005241F1"/>
    <w:rsid w:val="005241FD"/>
    <w:rsid w:val="00526548"/>
    <w:rsid w:val="00530FE3"/>
    <w:rsid w:val="00532933"/>
    <w:rsid w:val="005343C1"/>
    <w:rsid w:val="0054205A"/>
    <w:rsid w:val="00543FDD"/>
    <w:rsid w:val="00550A69"/>
    <w:rsid w:val="00550BB3"/>
    <w:rsid w:val="005513A3"/>
    <w:rsid w:val="005514D5"/>
    <w:rsid w:val="00551CA6"/>
    <w:rsid w:val="00556119"/>
    <w:rsid w:val="00564793"/>
    <w:rsid w:val="005648B6"/>
    <w:rsid w:val="00564B2E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53E3"/>
    <w:rsid w:val="005A05C2"/>
    <w:rsid w:val="005A1230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C51F6"/>
    <w:rsid w:val="005D0B21"/>
    <w:rsid w:val="005D6291"/>
    <w:rsid w:val="005D6DC1"/>
    <w:rsid w:val="005E0959"/>
    <w:rsid w:val="005E6D8D"/>
    <w:rsid w:val="005E77EA"/>
    <w:rsid w:val="005F13D7"/>
    <w:rsid w:val="005F25CC"/>
    <w:rsid w:val="005F2AAC"/>
    <w:rsid w:val="006152C8"/>
    <w:rsid w:val="00616985"/>
    <w:rsid w:val="00617EF1"/>
    <w:rsid w:val="0063027E"/>
    <w:rsid w:val="006322F0"/>
    <w:rsid w:val="006324CA"/>
    <w:rsid w:val="0064152C"/>
    <w:rsid w:val="00642E37"/>
    <w:rsid w:val="0064672B"/>
    <w:rsid w:val="006503C0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300E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92B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2F78"/>
    <w:rsid w:val="00757967"/>
    <w:rsid w:val="00757B00"/>
    <w:rsid w:val="00763C29"/>
    <w:rsid w:val="007668E1"/>
    <w:rsid w:val="007677DB"/>
    <w:rsid w:val="00771350"/>
    <w:rsid w:val="007717BA"/>
    <w:rsid w:val="00776AD7"/>
    <w:rsid w:val="007800B1"/>
    <w:rsid w:val="0078012E"/>
    <w:rsid w:val="00786F7B"/>
    <w:rsid w:val="0079275E"/>
    <w:rsid w:val="007942CF"/>
    <w:rsid w:val="0079525A"/>
    <w:rsid w:val="007A0112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F0BF7"/>
    <w:rsid w:val="007F13DD"/>
    <w:rsid w:val="007F21DE"/>
    <w:rsid w:val="007F246F"/>
    <w:rsid w:val="007F4C27"/>
    <w:rsid w:val="00801880"/>
    <w:rsid w:val="00802949"/>
    <w:rsid w:val="00806B66"/>
    <w:rsid w:val="0080714A"/>
    <w:rsid w:val="00807A53"/>
    <w:rsid w:val="0082055F"/>
    <w:rsid w:val="00821267"/>
    <w:rsid w:val="00823962"/>
    <w:rsid w:val="00823BE9"/>
    <w:rsid w:val="0082525C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80E60"/>
    <w:rsid w:val="00886349"/>
    <w:rsid w:val="00886E70"/>
    <w:rsid w:val="008930E6"/>
    <w:rsid w:val="008931C5"/>
    <w:rsid w:val="00894767"/>
    <w:rsid w:val="0089612D"/>
    <w:rsid w:val="00897BAD"/>
    <w:rsid w:val="008A024B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E78FA"/>
    <w:rsid w:val="008F27E5"/>
    <w:rsid w:val="008F353D"/>
    <w:rsid w:val="008F410E"/>
    <w:rsid w:val="008F42E1"/>
    <w:rsid w:val="008F7051"/>
    <w:rsid w:val="008F7969"/>
    <w:rsid w:val="009051E5"/>
    <w:rsid w:val="009056B2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6042C"/>
    <w:rsid w:val="0096096E"/>
    <w:rsid w:val="00961117"/>
    <w:rsid w:val="00961B4A"/>
    <w:rsid w:val="00964D42"/>
    <w:rsid w:val="00972A3D"/>
    <w:rsid w:val="00973805"/>
    <w:rsid w:val="0097504F"/>
    <w:rsid w:val="00975738"/>
    <w:rsid w:val="0097611D"/>
    <w:rsid w:val="009768D8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B3E6D"/>
    <w:rsid w:val="009B65DB"/>
    <w:rsid w:val="009C18C1"/>
    <w:rsid w:val="009C40E3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13B4"/>
    <w:rsid w:val="00A23667"/>
    <w:rsid w:val="00A23B72"/>
    <w:rsid w:val="00A23F33"/>
    <w:rsid w:val="00A258F9"/>
    <w:rsid w:val="00A26918"/>
    <w:rsid w:val="00A30802"/>
    <w:rsid w:val="00A30804"/>
    <w:rsid w:val="00A324DC"/>
    <w:rsid w:val="00A326B2"/>
    <w:rsid w:val="00A32D90"/>
    <w:rsid w:val="00A3315B"/>
    <w:rsid w:val="00A350AB"/>
    <w:rsid w:val="00A3700C"/>
    <w:rsid w:val="00A37DF3"/>
    <w:rsid w:val="00A37FB6"/>
    <w:rsid w:val="00A4175C"/>
    <w:rsid w:val="00A4186B"/>
    <w:rsid w:val="00A41909"/>
    <w:rsid w:val="00A427CD"/>
    <w:rsid w:val="00A466E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3AE7"/>
    <w:rsid w:val="00A93DE8"/>
    <w:rsid w:val="00A94092"/>
    <w:rsid w:val="00AA1384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5D87"/>
    <w:rsid w:val="00AD788D"/>
    <w:rsid w:val="00AE3F41"/>
    <w:rsid w:val="00AE4042"/>
    <w:rsid w:val="00AF3312"/>
    <w:rsid w:val="00AF3591"/>
    <w:rsid w:val="00AF3CDE"/>
    <w:rsid w:val="00B000CD"/>
    <w:rsid w:val="00B01D02"/>
    <w:rsid w:val="00B0374E"/>
    <w:rsid w:val="00B04376"/>
    <w:rsid w:val="00B05D0B"/>
    <w:rsid w:val="00B121F8"/>
    <w:rsid w:val="00B16685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4CCC"/>
    <w:rsid w:val="00B563B1"/>
    <w:rsid w:val="00B63C7D"/>
    <w:rsid w:val="00B64C19"/>
    <w:rsid w:val="00B66C8A"/>
    <w:rsid w:val="00B71741"/>
    <w:rsid w:val="00B722A5"/>
    <w:rsid w:val="00B73188"/>
    <w:rsid w:val="00B75AFB"/>
    <w:rsid w:val="00B7671C"/>
    <w:rsid w:val="00B779C7"/>
    <w:rsid w:val="00B857F0"/>
    <w:rsid w:val="00B868D8"/>
    <w:rsid w:val="00B90C4B"/>
    <w:rsid w:val="00B922A1"/>
    <w:rsid w:val="00B93F9C"/>
    <w:rsid w:val="00B94AE8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5730"/>
    <w:rsid w:val="00BE587B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1B0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C50C8"/>
    <w:rsid w:val="00CD30E3"/>
    <w:rsid w:val="00CD5727"/>
    <w:rsid w:val="00CD5B24"/>
    <w:rsid w:val="00CE028D"/>
    <w:rsid w:val="00CE31DE"/>
    <w:rsid w:val="00CE582B"/>
    <w:rsid w:val="00CE736E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FA1"/>
    <w:rsid w:val="00D22318"/>
    <w:rsid w:val="00D23BF3"/>
    <w:rsid w:val="00D2466E"/>
    <w:rsid w:val="00D27C0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7423"/>
    <w:rsid w:val="00D57C7F"/>
    <w:rsid w:val="00D57F01"/>
    <w:rsid w:val="00D60F14"/>
    <w:rsid w:val="00D62228"/>
    <w:rsid w:val="00D64DF9"/>
    <w:rsid w:val="00D71A33"/>
    <w:rsid w:val="00D82006"/>
    <w:rsid w:val="00D82864"/>
    <w:rsid w:val="00D82B9D"/>
    <w:rsid w:val="00D84095"/>
    <w:rsid w:val="00D908D7"/>
    <w:rsid w:val="00D9091B"/>
    <w:rsid w:val="00D9282D"/>
    <w:rsid w:val="00D93AD2"/>
    <w:rsid w:val="00D96163"/>
    <w:rsid w:val="00D962FC"/>
    <w:rsid w:val="00D96C9F"/>
    <w:rsid w:val="00D978BD"/>
    <w:rsid w:val="00DA2D40"/>
    <w:rsid w:val="00DA3EC7"/>
    <w:rsid w:val="00DA4896"/>
    <w:rsid w:val="00DA6196"/>
    <w:rsid w:val="00DB22A0"/>
    <w:rsid w:val="00DB3EEB"/>
    <w:rsid w:val="00DB4F2F"/>
    <w:rsid w:val="00DB74FC"/>
    <w:rsid w:val="00DC0D5F"/>
    <w:rsid w:val="00DC2735"/>
    <w:rsid w:val="00DC344B"/>
    <w:rsid w:val="00DC41A5"/>
    <w:rsid w:val="00DC5B91"/>
    <w:rsid w:val="00DC7B18"/>
    <w:rsid w:val="00DD0783"/>
    <w:rsid w:val="00DD09FB"/>
    <w:rsid w:val="00DD581E"/>
    <w:rsid w:val="00DD5F4B"/>
    <w:rsid w:val="00DE269E"/>
    <w:rsid w:val="00DE37BD"/>
    <w:rsid w:val="00DE4173"/>
    <w:rsid w:val="00DE67FD"/>
    <w:rsid w:val="00DE6FD6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34B5"/>
    <w:rsid w:val="00E27863"/>
    <w:rsid w:val="00E27978"/>
    <w:rsid w:val="00E32EED"/>
    <w:rsid w:val="00E35143"/>
    <w:rsid w:val="00E36E16"/>
    <w:rsid w:val="00E41533"/>
    <w:rsid w:val="00E45E07"/>
    <w:rsid w:val="00E53502"/>
    <w:rsid w:val="00E57899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B260B"/>
    <w:rsid w:val="00EC2BAC"/>
    <w:rsid w:val="00EC3A76"/>
    <w:rsid w:val="00EC68AE"/>
    <w:rsid w:val="00ED3D80"/>
    <w:rsid w:val="00ED4A1C"/>
    <w:rsid w:val="00ED53F6"/>
    <w:rsid w:val="00ED70DA"/>
    <w:rsid w:val="00ED7D28"/>
    <w:rsid w:val="00EE0968"/>
    <w:rsid w:val="00EE25F0"/>
    <w:rsid w:val="00EE2FD1"/>
    <w:rsid w:val="00EE3248"/>
    <w:rsid w:val="00EE4FE6"/>
    <w:rsid w:val="00EE6D11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36C"/>
    <w:rsid w:val="00F54AF1"/>
    <w:rsid w:val="00F550BE"/>
    <w:rsid w:val="00F55C85"/>
    <w:rsid w:val="00F55FA8"/>
    <w:rsid w:val="00F64A55"/>
    <w:rsid w:val="00F65196"/>
    <w:rsid w:val="00F67081"/>
    <w:rsid w:val="00F709E4"/>
    <w:rsid w:val="00F739EA"/>
    <w:rsid w:val="00F73E38"/>
    <w:rsid w:val="00F766F3"/>
    <w:rsid w:val="00F8144F"/>
    <w:rsid w:val="00F8165C"/>
    <w:rsid w:val="00F8764D"/>
    <w:rsid w:val="00F87A53"/>
    <w:rsid w:val="00F932E2"/>
    <w:rsid w:val="00F945B1"/>
    <w:rsid w:val="00F965DA"/>
    <w:rsid w:val="00F96969"/>
    <w:rsid w:val="00FA2DCA"/>
    <w:rsid w:val="00FA3C79"/>
    <w:rsid w:val="00FA65C9"/>
    <w:rsid w:val="00FA6BCC"/>
    <w:rsid w:val="00FB349E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D7901"/>
    <w:rsid w:val="00FE17BC"/>
    <w:rsid w:val="00FE685B"/>
    <w:rsid w:val="00FE7E26"/>
    <w:rsid w:val="00FF172A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B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0A7F5D"/>
  </w:style>
  <w:style w:type="paragraph" w:customStyle="1" w:styleId="CM1">
    <w:name w:val="CM1"/>
    <w:basedOn w:val="Normalny"/>
    <w:uiPriority w:val="99"/>
    <w:rsid w:val="00F5436C"/>
    <w:pPr>
      <w:autoSpaceDE w:val="0"/>
      <w:autoSpaceDN w:val="0"/>
      <w:spacing w:after="0" w:line="240" w:lineRule="auto"/>
    </w:pPr>
    <w:rPr>
      <w:rFonts w:ascii="EUAlbertina" w:eastAsiaTheme="minorHAnsi" w:hAnsi="EUAlbertin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0A7F5D"/>
  </w:style>
  <w:style w:type="paragraph" w:customStyle="1" w:styleId="CM1">
    <w:name w:val="CM1"/>
    <w:basedOn w:val="Normalny"/>
    <w:uiPriority w:val="99"/>
    <w:rsid w:val="00F5436C"/>
    <w:pPr>
      <w:autoSpaceDE w:val="0"/>
      <w:autoSpaceDN w:val="0"/>
      <w:spacing w:after="0" w:line="240" w:lineRule="auto"/>
    </w:pPr>
    <w:rPr>
      <w:rFonts w:ascii="EUAlbertina" w:eastAsiaTheme="minorHAnsi" w:hAnsi="EUAlberti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C3430-A800-461B-995E-D65E906D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9917</Words>
  <Characters>59508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Julita Wolnik-Pałaniuk</cp:lastModifiedBy>
  <cp:revision>3</cp:revision>
  <cp:lastPrinted>2021-06-23T10:50:00Z</cp:lastPrinted>
  <dcterms:created xsi:type="dcterms:W3CDTF">2021-06-23T10:50:00Z</dcterms:created>
  <dcterms:modified xsi:type="dcterms:W3CDTF">2021-06-23T10:54:00Z</dcterms:modified>
</cp:coreProperties>
</file>