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051F2" w14:textId="0B4BC09C" w:rsidR="00167871" w:rsidRDefault="00B71741" w:rsidP="00167871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>dn.</w:t>
      </w:r>
      <w:r w:rsidR="00D20BDF">
        <w:rPr>
          <w:sz w:val="20"/>
        </w:rPr>
        <w:t xml:space="preserve"> </w:t>
      </w:r>
      <w:r w:rsidR="007E0250" w:rsidRPr="007E0250">
        <w:rPr>
          <w:sz w:val="20"/>
        </w:rPr>
        <w:t>20.09.2022 r.</w:t>
      </w: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9362F1D" w14:textId="39740302" w:rsidR="00ED73D9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 xml:space="preserve">) </w:t>
      </w:r>
      <w:r w:rsidR="00FE7CCE">
        <w:rPr>
          <w:rFonts w:asciiTheme="minorHAnsi" w:hAnsiTheme="minorHAnsi"/>
          <w:sz w:val="22"/>
          <w:szCs w:val="22"/>
        </w:rPr>
        <w:t>r</w:t>
      </w:r>
      <w:r w:rsidR="00FE7CCE" w:rsidRPr="00FE7CCE">
        <w:rPr>
          <w:rFonts w:asciiTheme="minorHAnsi" w:hAnsiTheme="minorHAnsi"/>
          <w:sz w:val="22"/>
          <w:szCs w:val="22"/>
        </w:rPr>
        <w:t>ozporządzenie</w:t>
      </w:r>
      <w:r w:rsidR="00FE7CCE">
        <w:rPr>
          <w:rFonts w:asciiTheme="minorHAnsi" w:hAnsiTheme="minorHAnsi"/>
          <w:sz w:val="22"/>
          <w:szCs w:val="22"/>
        </w:rPr>
        <w:t>m</w:t>
      </w:r>
      <w:r w:rsidR="00FE7CCE" w:rsidRPr="00FE7CCE">
        <w:rPr>
          <w:rFonts w:asciiTheme="minorHAnsi" w:hAnsiTheme="minorHAnsi"/>
          <w:sz w:val="22"/>
          <w:szCs w:val="22"/>
        </w:rPr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 (Dz. Urz. UE L 437 z 28.12.2020, str. 30) [</w:t>
      </w:r>
      <w:r w:rsidR="00FE7CCE">
        <w:rPr>
          <w:rFonts w:asciiTheme="minorHAnsi" w:hAnsiTheme="minorHAnsi"/>
          <w:sz w:val="22"/>
          <w:szCs w:val="22"/>
        </w:rPr>
        <w:t xml:space="preserve">dalej: </w:t>
      </w:r>
      <w:r w:rsidR="00FE7CCE" w:rsidRPr="00FE7CCE">
        <w:rPr>
          <w:rFonts w:asciiTheme="minorHAnsi" w:hAnsiTheme="minorHAnsi"/>
          <w:sz w:val="22"/>
          <w:szCs w:val="22"/>
        </w:rPr>
        <w:t>Rozporządzenie REACT – EU]</w:t>
      </w:r>
      <w:r w:rsidR="00FE7CCE">
        <w:rPr>
          <w:rFonts w:asciiTheme="minorHAnsi" w:hAnsiTheme="minorHAnsi"/>
          <w:sz w:val="22"/>
          <w:szCs w:val="22"/>
        </w:rPr>
        <w:t>,</w:t>
      </w:r>
    </w:p>
    <w:p w14:paraId="403449E0" w14:textId="77777777" w:rsidR="00ED73D9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6B6EAB" w14:textId="0DE18EC1" w:rsidR="000906B8" w:rsidRPr="00DD0783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e) </w:t>
      </w:r>
      <w:r w:rsidR="000906B8" w:rsidRPr="00DD0783">
        <w:rPr>
          <w:rFonts w:asciiTheme="minorHAnsi" w:hAnsiTheme="minorHAnsi"/>
          <w:sz w:val="22"/>
          <w:szCs w:val="22"/>
        </w:rPr>
        <w:t>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 xml:space="preserve">Wytyczne w zakresie kwalifikowalności wydatków w ramach </w:t>
      </w:r>
      <w:r w:rsidRPr="009A5E66">
        <w:rPr>
          <w:b/>
          <w:i/>
        </w:rPr>
        <w:lastRenderedPageBreak/>
        <w:t>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42CC9C9A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</w:t>
      </w:r>
      <w:r w:rsidR="00E21C92">
        <w:rPr>
          <w:rFonts w:asciiTheme="minorHAnsi" w:hAnsiTheme="minorHAnsi"/>
          <w:sz w:val="22"/>
          <w:szCs w:val="22"/>
        </w:rPr>
        <w:t xml:space="preserve"> oraz 12</w:t>
      </w:r>
      <w:r w:rsidR="00C10F6C" w:rsidRPr="00DD0783">
        <w:rPr>
          <w:rFonts w:asciiTheme="minorHAnsi" w:hAnsiTheme="minorHAnsi"/>
          <w:sz w:val="22"/>
          <w:szCs w:val="22"/>
        </w:rPr>
        <w:t>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5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5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0A80CE71" w14:textId="6E5DE144" w:rsidR="003C1F46" w:rsidRDefault="005953E3" w:rsidP="00122E9E">
      <w:pPr>
        <w:tabs>
          <w:tab w:val="left" w:pos="5330"/>
        </w:tabs>
        <w:spacing w:line="240" w:lineRule="auto"/>
        <w:jc w:val="both"/>
        <w:rPr>
          <w:rFonts w:ascii="Calibri" w:hAnsi="Calibri" w:cs="Arial"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  <w:r w:rsidR="003C1F46">
        <w:rPr>
          <w:rFonts w:ascii="Calibri" w:hAnsi="Calibri" w:cs="Arial"/>
        </w:rPr>
        <w:t xml:space="preserve"> </w:t>
      </w:r>
    </w:p>
    <w:p w14:paraId="364A390F" w14:textId="4B04BFB9" w:rsidR="00122E9E" w:rsidRPr="00DD0783" w:rsidRDefault="003C1F46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rFonts w:ascii="Calibri" w:hAnsi="Calibri" w:cs="Arial"/>
        </w:rPr>
        <w:t>W przypadku projektów realizowanych na podstawie rozporządzenia REACT – EU zastosowanie mają regulacje wskazane w tym rozporządzeniu, w szczególności okres kwalifikowalności wydatków rozpoczynający się od 1 lutego 2020 r. oraz wyłączenie stosowania art. 65 ust. 6 rozporządzenia ogólnego dot. projektów zakończonych</w:t>
      </w:r>
      <w:r w:rsidR="00447E50">
        <w:rPr>
          <w:rFonts w:ascii="Calibri" w:hAnsi="Calibri" w:cs="Arial"/>
        </w:rPr>
        <w:t xml:space="preserve"> przed złożeniem wniosku o dofinansowanie projektu.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30F82771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</w:t>
      </w:r>
      <w:r w:rsidR="00E21C92">
        <w:rPr>
          <w:b/>
        </w:rPr>
        <w:t xml:space="preserve"> oraz 12</w:t>
      </w:r>
      <w:r w:rsidR="00A23F33" w:rsidRPr="00DD0783">
        <w:rPr>
          <w:b/>
        </w:rPr>
        <w:t xml:space="preserve">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przygotowanie dokumentacji projektu (wymaganej prawem krajowym lub wspólnotowym bądź przez IZ RPO WD) przekraczające 8% wartości całkowitych wydatków kwalifikowalnych projektu. Limit ten weryfikowany jest jednorazowo na etapie oceny </w:t>
            </w:r>
            <w:r w:rsidRPr="00DD0783">
              <w:lastRenderedPageBreak/>
              <w:t>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</w:t>
            </w:r>
            <w:r w:rsidRPr="00DD0783">
              <w:lastRenderedPageBreak/>
              <w:t>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</w:t>
            </w:r>
            <w:r w:rsidRPr="00DD0783">
              <w:lastRenderedPageBreak/>
              <w:t xml:space="preserve">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</w:t>
            </w:r>
            <w:r w:rsidRPr="00DD0783">
              <w:lastRenderedPageBreak/>
              <w:t>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3952A4E5" w14:textId="6FE43C40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Pr="008772F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usługi związane z promocją </w:t>
      </w:r>
      <w:r w:rsidRPr="008772F2">
        <w:t>projektu</w:t>
      </w:r>
      <w:r w:rsidR="00157F1C" w:rsidRPr="008772F2">
        <w:t xml:space="preserve"> (tj. wydatki związane z działaniami informacyjno-promocyjnymi projektu, np. informacja na stronie www o uzyskanym wsparciu, jak i wydatki związane z merytoryczną promocją projektu, np. spoty informacyjne w mediach)</w:t>
      </w:r>
      <w:r w:rsidRPr="008772F2"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lastRenderedPageBreak/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</w:t>
      </w:r>
      <w:bookmarkStart w:id="13" w:name="_Hlk92277846"/>
      <w:r>
        <w:rPr>
          <w:rFonts w:ascii="Calibri" w:hAnsi="Calibri" w:cs="Calibri"/>
          <w:color w:val="000000"/>
        </w:rPr>
        <w:t xml:space="preserve">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  <w:bookmarkEnd w:id="13"/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A312C2A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</w:t>
      </w:r>
      <w:r w:rsidR="000C6121">
        <w:rPr>
          <w:rFonts w:eastAsia="Times New Roman" w:cs="Times New Roman"/>
        </w:rPr>
        <w:t xml:space="preserve"> w budynku</w:t>
      </w:r>
      <w:r w:rsidRPr="00DD0783">
        <w:rPr>
          <w:rFonts w:eastAsia="Times New Roman" w:cs="Times New Roman"/>
        </w:rPr>
        <w:t xml:space="preserve"> (nie wynikające z audytu</w:t>
      </w:r>
      <w:r w:rsidR="000C6121">
        <w:rPr>
          <w:rFonts w:eastAsia="Times New Roman" w:cs="Times New Roman"/>
        </w:rPr>
        <w:t>)</w:t>
      </w:r>
      <w:r w:rsidRPr="00DD0783">
        <w:rPr>
          <w:rFonts w:eastAsia="Times New Roman" w:cs="Times New Roman"/>
        </w:rPr>
        <w:t xml:space="preserve">, </w:t>
      </w:r>
      <w:r w:rsidR="000C6121" w:rsidRPr="000C6121">
        <w:rPr>
          <w:rFonts w:eastAsia="Times New Roman" w:cs="Times New Roman"/>
        </w:rPr>
        <w:t>zmiana układu pomieszczeń, wyposażenie pomieszczeń w meble, montaż urządzeń sanitarnych, remont klatki schodowej, wykończenie pomieszczeń</w:t>
      </w:r>
      <w:r w:rsidR="000C6121">
        <w:rPr>
          <w:rFonts w:eastAsia="Times New Roman" w:cs="Times New Roman"/>
        </w:rPr>
        <w:t>.</w:t>
      </w:r>
      <w:r w:rsidR="000C6121" w:rsidRPr="000C6121" w:rsidDel="000C6121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 xml:space="preserve"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</w:t>
      </w:r>
      <w:r w:rsidR="000C6121">
        <w:rPr>
          <w:rFonts w:cs="Arial"/>
        </w:rPr>
        <w:t>oraz ewentualne niezbędne prace odtworzeniowe.</w:t>
      </w:r>
      <w:r w:rsidR="000C6121" w:rsidRP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 xml:space="preserve">Zasada ta nie dotyczy również usprawnień na rzecz osób </w:t>
      </w:r>
      <w:r w:rsidR="000C6121" w:rsidRPr="000C6121">
        <w:rPr>
          <w:rFonts w:eastAsia="Times New Roman" w:cs="Times New Roman"/>
        </w:rPr>
        <w:t>z niepełnosprawnościami, związanych z realizacją koncepcji uniwersalnego projektowania, o której mowa w Wytycznych w zakresie realizacji zasady równości szans i niedyskryminacji, w tym dostępności dla osób z niepełnosprawnościami oraz zasady równości szans kobiet i mężczyzn w ramach funduszy unijnych na lata 2014-2020,tj.  poprzez zastosowanie różnego rodzaju technologii czy rozwiązań np. montaż windy, podjazdów, barierek lub inne udogodnienia. Prace budowlane w zakresie poprawy dostępności budynku będą prowadzone w zakresie proporcjonalnym i adekwatnym do  głównego  celu  projektu,  którym  pozostaje  poprawa efektywności  energetycznej  budynku.  Prace zwiększające dostępność wychodzące poza ten zakres nie będą kwalifikowalne.</w:t>
      </w:r>
      <w:r w:rsidR="000C6121" w:rsidRPr="000C6121" w:rsidDel="000C6121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6364F54D" w14:textId="2BE26DDD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922722">
        <w:rPr>
          <w:rStyle w:val="Odwoanieprzypisudolnego"/>
        </w:rPr>
        <w:footnoteReference w:id="43"/>
      </w:r>
      <w:r w:rsidR="00825586">
        <w:t>.</w:t>
      </w:r>
      <w:r w:rsidR="00B04376">
        <w:t xml:space="preserve"> 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</w:t>
      </w:r>
      <w:r>
        <w:lastRenderedPageBreak/>
        <w:t xml:space="preserve">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lastRenderedPageBreak/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 xml:space="preserve"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</w:t>
      </w:r>
      <w:r w:rsidRPr="00DD0783">
        <w:lastRenderedPageBreak/>
        <w:t>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DFFDBFD" w14:textId="1F49E9E3" w:rsidR="005216DA" w:rsidRDefault="005216DA" w:rsidP="005216DA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>12</w:t>
      </w:r>
      <w:r w:rsidRPr="00DD0783">
        <w:rPr>
          <w:b/>
        </w:rPr>
        <w:t>.</w:t>
      </w:r>
      <w:r>
        <w:rPr>
          <w:b/>
        </w:rPr>
        <w:t>1</w:t>
      </w:r>
      <w:r w:rsidRPr="002D6058">
        <w:rPr>
          <w:b/>
        </w:rPr>
        <w:t xml:space="preserve"> Zwiększenie jakości i dostępności usług zdrowotnych w walce z pandemią COVID-19</w:t>
      </w:r>
      <w:r>
        <w:rPr>
          <w:b/>
        </w:rPr>
        <w:t>:</w:t>
      </w:r>
    </w:p>
    <w:p w14:paraId="1BA750CE" w14:textId="3FD60EDF" w:rsidR="005216DA" w:rsidRPr="00DD0783" w:rsidRDefault="005216DA" w:rsidP="005216D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12.A i 12.B</w:t>
      </w:r>
      <w:r w:rsidRPr="00DD0783">
        <w:rPr>
          <w:b/>
        </w:rPr>
        <w:t>:</w:t>
      </w:r>
    </w:p>
    <w:p w14:paraId="6A6C2F3A" w14:textId="77777777" w:rsidR="005216DA" w:rsidRPr="00DD0783" w:rsidRDefault="005216DA" w:rsidP="005216DA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35CA8EC" w14:textId="6C873E03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</w:t>
      </w:r>
    </w:p>
    <w:p w14:paraId="5A675BBE" w14:textId="4139E43E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</w:p>
    <w:p w14:paraId="4A3766F5" w14:textId="44CEB7DA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</w:t>
      </w:r>
      <w:r w:rsidR="00296A47">
        <w:t xml:space="preserve">określonych </w:t>
      </w:r>
      <w:r w:rsidRPr="00DD0783">
        <w:t>jednostek chorobowych</w:t>
      </w:r>
      <w:r w:rsidR="005939F6">
        <w:t>/poradni</w:t>
      </w:r>
      <w:r w:rsidRPr="00DD0783">
        <w:t xml:space="preserve">– </w:t>
      </w:r>
      <w:r w:rsidRPr="00DD0783">
        <w:rPr>
          <w:u w:val="single"/>
        </w:rPr>
        <w:t>szczegółowe uregulowania zawarte są w </w:t>
      </w:r>
      <w:r w:rsidR="00296A47">
        <w:rPr>
          <w:u w:val="single"/>
        </w:rPr>
        <w:t xml:space="preserve">dokumentacji konkursowej/pozakonkursowej </w:t>
      </w:r>
    </w:p>
    <w:p w14:paraId="58DABBC7" w14:textId="1BBAFD9D" w:rsidR="00296A47" w:rsidRPr="009A6C47" w:rsidRDefault="005216DA" w:rsidP="002D6058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</w:t>
      </w:r>
      <w:r w:rsidR="00296A47">
        <w:t xml:space="preserve">określonych </w:t>
      </w:r>
      <w:r w:rsidRPr="00DD0783">
        <w:t>jednostek chorobowych</w:t>
      </w:r>
      <w:r w:rsidR="005939F6">
        <w:t xml:space="preserve">/poradni </w:t>
      </w:r>
      <w:r w:rsidR="00FA03EA">
        <w:t xml:space="preserve"> </w:t>
      </w:r>
      <w:r w:rsidRPr="00DD0783">
        <w:t xml:space="preserve">– </w:t>
      </w:r>
      <w:r w:rsidRPr="00DD0783">
        <w:rPr>
          <w:u w:val="single"/>
        </w:rPr>
        <w:t xml:space="preserve">szczegółowe uregulowania zawarte są w </w:t>
      </w:r>
      <w:r w:rsidR="00296A47">
        <w:rPr>
          <w:u w:val="single"/>
        </w:rPr>
        <w:t xml:space="preserve">dokumentacji konkursowej/pozakonkursowej </w:t>
      </w:r>
    </w:p>
    <w:p w14:paraId="24C45438" w14:textId="544B2EAA" w:rsidR="005216DA" w:rsidRDefault="005216DA" w:rsidP="005216DA">
      <w:pPr>
        <w:pStyle w:val="Akapitzlist"/>
        <w:numPr>
          <w:ilvl w:val="0"/>
          <w:numId w:val="5"/>
        </w:numPr>
        <w:jc w:val="both"/>
      </w:pPr>
      <w:r w:rsidRPr="00F67A1B">
        <w:t>Wydatki związane z zakupem sprzętu medycznego, na którym będą świadczone usługi medyczne odpłatne, generujące przychód w projekcie.</w:t>
      </w:r>
    </w:p>
    <w:p w14:paraId="634A12E3" w14:textId="6BD49DD9" w:rsidR="00F67A1B" w:rsidRPr="00F67A1B" w:rsidRDefault="00F67A1B" w:rsidP="002D642D">
      <w:pPr>
        <w:pStyle w:val="Akapitzlist"/>
        <w:jc w:val="both"/>
      </w:pPr>
    </w:p>
    <w:p w14:paraId="1B72A9F5" w14:textId="59BA28FF" w:rsid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3D39041" w14:textId="4A50D910" w:rsidR="005351BC" w:rsidRPr="00DD0783" w:rsidRDefault="005351BC" w:rsidP="005351BC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 xml:space="preserve">12.2 </w:t>
      </w:r>
      <w:r w:rsidRPr="005351BC">
        <w:rPr>
          <w:b/>
        </w:rPr>
        <w:t>Inwestycje przyczyniające się do ograniczania niskiej emisji</w:t>
      </w:r>
      <w:r w:rsidRPr="00DD0783">
        <w:rPr>
          <w:b/>
        </w:rPr>
        <w:t>:</w:t>
      </w:r>
    </w:p>
    <w:p w14:paraId="2651DA44" w14:textId="666ED0F4" w:rsidR="005351BC" w:rsidRPr="00DD0783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>
        <w:t xml:space="preserve"> </w:t>
      </w:r>
    </w:p>
    <w:p w14:paraId="2D2F3593" w14:textId="410953B5" w:rsidR="005351BC" w:rsidRPr="00DD0783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>
        <w:t xml:space="preserve"> </w:t>
      </w:r>
    </w:p>
    <w:p w14:paraId="02BE3D2F" w14:textId="16359F89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</w:t>
      </w:r>
      <w:r w:rsidR="003203C4">
        <w:rPr>
          <w:rFonts w:eastAsia="Times New Roman" w:cs="Times New Roman"/>
        </w:rPr>
        <w:t xml:space="preserve"> w budynku</w:t>
      </w:r>
      <w:r w:rsidRPr="00DD0783">
        <w:rPr>
          <w:rFonts w:eastAsia="Times New Roman" w:cs="Times New Roman"/>
        </w:rPr>
        <w:t xml:space="preserve"> (nie wynikające z audytu</w:t>
      </w:r>
      <w:r w:rsidR="003203C4">
        <w:rPr>
          <w:rFonts w:eastAsia="Times New Roman" w:cs="Times New Roman"/>
        </w:rPr>
        <w:t>)</w:t>
      </w:r>
      <w:r w:rsidRPr="00DD0783">
        <w:rPr>
          <w:rFonts w:eastAsia="Times New Roman" w:cs="Times New Roman"/>
        </w:rPr>
        <w:t xml:space="preserve">, </w:t>
      </w:r>
      <w:r w:rsidR="003203C4" w:rsidRPr="003203C4">
        <w:rPr>
          <w:rFonts w:eastAsia="Times New Roman" w:cs="Times New Roman"/>
        </w:rPr>
        <w:t>zmiana układu pomieszczeń, wyposażenie pomieszczeń w meble, montaż urządzeń sanitarnych, remont klatki schodowej, wykończenie pomieszczeń.</w:t>
      </w:r>
      <w:r w:rsidRPr="00DD0783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 xml:space="preserve"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</w:t>
      </w:r>
      <w:r w:rsidR="003203C4">
        <w:rPr>
          <w:rFonts w:eastAsia="Times New Roman" w:cs="Times New Roman"/>
        </w:rPr>
        <w:t xml:space="preserve">oraz ewentualne prace odtworzeniowe. </w:t>
      </w:r>
      <w:r w:rsidRPr="00283995">
        <w:rPr>
          <w:rFonts w:eastAsia="Times New Roman" w:cs="Times New Roman"/>
        </w:rPr>
        <w:t xml:space="preserve">Zasada ta nie dotyczy również usprawnień na rzecz osób </w:t>
      </w:r>
      <w:r w:rsidR="003203C4" w:rsidRPr="003203C4">
        <w:rPr>
          <w:rFonts w:eastAsia="Times New Roman" w:cs="Times New Roman"/>
        </w:rPr>
        <w:t xml:space="preserve">z niepełnosprawnościami, związanych z realizacją koncepcji uniwersalnego projektowania, o której mowa w Wytycznych w zakresie realizacji zasady równości szans i niedyskryminacji, w tym dostępności dla osób z niepełnosprawnościami oraz zasady równości szans kobiet i mężczyzn w ramach funduszy unijnych na lata 2014-2020,tj.  poprzez zastosowanie różnego rodzaju technologii czy rozwiązań np. montaż windy, podjazdów, barierek lub inne udogodnienia. Prace budowlane w zakresie poprawy dostępności budynku będą prowadzone w zakresie proporcjonalnym i adekwatnym do  głównego  celu  projektu,  którym  pozostaje  </w:t>
      </w:r>
      <w:r w:rsidR="003203C4" w:rsidRPr="003203C4">
        <w:rPr>
          <w:rFonts w:eastAsia="Times New Roman" w:cs="Times New Roman"/>
        </w:rPr>
        <w:lastRenderedPageBreak/>
        <w:t>poprawa efektywności  energetycznej  budynku.  Prace zwiększające dostępność wychodzące poza ten zakres nie będą kwalifikowalne.</w:t>
      </w:r>
      <w:r>
        <w:rPr>
          <w:rFonts w:eastAsia="Times New Roman" w:cs="Times New Roman"/>
        </w:rPr>
        <w:t>.</w:t>
      </w:r>
    </w:p>
    <w:p w14:paraId="573DDF75" w14:textId="5AD21BEB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 xml:space="preserve"> </w:t>
      </w:r>
      <w:r>
        <w:rPr>
          <w:rStyle w:val="Odwoanieprzypisudolnego"/>
          <w:rFonts w:eastAsia="Times New Roman" w:cs="Times New Roman"/>
        </w:rPr>
        <w:footnoteReference w:id="79"/>
      </w:r>
    </w:p>
    <w:p w14:paraId="7BB26BDC" w14:textId="77777777" w:rsidR="005351BC" w:rsidRPr="00283995" w:rsidRDefault="005351BC" w:rsidP="005351BC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06E0DE65" w14:textId="2235F7E1" w:rsidR="005351BC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 i olejowe, bez względu na to, jakie normy spełniają</w:t>
      </w:r>
      <w:r w:rsidR="0065794F">
        <w:rPr>
          <w:rStyle w:val="Odwoanieprzypisudolnego"/>
        </w:rPr>
        <w:footnoteReference w:id="80"/>
      </w:r>
      <w:r w:rsidR="00922722">
        <w:t>.</w:t>
      </w:r>
      <w:r>
        <w:t>.</w:t>
      </w:r>
    </w:p>
    <w:p w14:paraId="55C398C6" w14:textId="72FB2C09" w:rsidR="005351BC" w:rsidRDefault="005351BC" w:rsidP="005351BC">
      <w:pPr>
        <w:pStyle w:val="Akapitzlist"/>
        <w:tabs>
          <w:tab w:val="left" w:pos="5330"/>
        </w:tabs>
        <w:spacing w:line="240" w:lineRule="auto"/>
        <w:ind w:left="0"/>
        <w:jc w:val="both"/>
        <w:rPr>
          <w:b/>
        </w:rPr>
      </w:pPr>
    </w:p>
    <w:p w14:paraId="3DAA1441" w14:textId="77777777" w:rsidR="00600FB8" w:rsidRPr="00600FB8" w:rsidRDefault="00600FB8" w:rsidP="00600FB8">
      <w:pPr>
        <w:jc w:val="both"/>
        <w:rPr>
          <w:b/>
          <w:bCs/>
        </w:rPr>
      </w:pPr>
      <w:r w:rsidRPr="00600FB8">
        <w:rPr>
          <w:b/>
          <w:bCs/>
        </w:rPr>
        <w:t>12.3 Inwestycje wzmacniające MŚP z wychodzenia z pandemii COVID-19</w:t>
      </w:r>
    </w:p>
    <w:p w14:paraId="079D592C" w14:textId="2E37103D" w:rsidR="00600FB8" w:rsidRDefault="00600FB8" w:rsidP="00600FB8">
      <w:pPr>
        <w:pStyle w:val="Akapitzlist"/>
        <w:jc w:val="both"/>
      </w:pPr>
      <w:r>
        <w:t>•</w:t>
      </w:r>
      <w:r>
        <w:tab/>
      </w:r>
      <w:r w:rsidR="007A2753">
        <w:t xml:space="preserve">katalog kosztów niekwalifikowalnych jak w zakresie schematu 1.5.D dotyczącego </w:t>
      </w:r>
      <w:r w:rsidR="007A2753" w:rsidRPr="007A2753">
        <w:t>naboru na zakup ruchomych środków trwałych i WNiP</w:t>
      </w:r>
      <w:r w:rsidR="007A2753">
        <w:t xml:space="preserve"> (zob. wyżej)</w:t>
      </w:r>
      <w:r w:rsidR="00287366">
        <w:t>.</w:t>
      </w:r>
      <w:r w:rsidR="007A2753">
        <w:t xml:space="preserve"> </w:t>
      </w:r>
    </w:p>
    <w:p w14:paraId="46C76D0D" w14:textId="77777777" w:rsidR="007A2753" w:rsidRPr="00600FB8" w:rsidRDefault="007A2753" w:rsidP="00600FB8">
      <w:pPr>
        <w:pStyle w:val="Akapitzlist"/>
        <w:jc w:val="both"/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5A1D75A5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lastRenderedPageBreak/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68E1E059" w14:textId="21E8682D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>zarządzania projektem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lastRenderedPageBreak/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A9C" w14:textId="77777777" w:rsidR="00C22E6E" w:rsidRDefault="00C22E6E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C22E6E" w:rsidRDefault="00C22E6E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C22E6E" w:rsidRDefault="00C2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C22E6E" w:rsidRDefault="00C22E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7A39C2F" w14:textId="77777777" w:rsidR="00C22E6E" w:rsidRDefault="00C22E6E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B0D" w14:textId="77777777" w:rsidR="00C22E6E" w:rsidRDefault="00C22E6E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C22E6E" w:rsidRDefault="00C22E6E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C22E6E" w:rsidRDefault="00C22E6E">
      <w:pPr>
        <w:spacing w:after="0" w:line="240" w:lineRule="auto"/>
      </w:pPr>
    </w:p>
  </w:footnote>
  <w:footnote w:id="2">
    <w:p w14:paraId="0E3F0519" w14:textId="77777777" w:rsidR="00C22E6E" w:rsidRPr="00013AFB" w:rsidRDefault="00C22E6E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C22E6E" w:rsidRDefault="00C22E6E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4">
    <w:p w14:paraId="5108A412" w14:textId="77777777" w:rsidR="00C22E6E" w:rsidRPr="00013AFB" w:rsidRDefault="00C22E6E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C22E6E" w:rsidRPr="00013AFB" w:rsidRDefault="00C22E6E" w:rsidP="00013AFB">
      <w:pPr>
        <w:pStyle w:val="Tekstprzypisudolnego"/>
        <w:jc w:val="both"/>
        <w:rPr>
          <w:b/>
        </w:rPr>
      </w:pPr>
    </w:p>
  </w:footnote>
  <w:footnote w:id="5">
    <w:p w14:paraId="1C51B04F" w14:textId="6BF142D0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35B9">
        <w:t>P</w:t>
      </w:r>
      <w:r>
        <w:t>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 xml:space="preserve"> oraz w przypadku działań realizowanych na podstawie rozporządzenia REACT - EU</w:t>
      </w:r>
      <w:r w:rsidR="008035B9">
        <w:t>.</w:t>
      </w:r>
    </w:p>
  </w:footnote>
  <w:footnote w:id="6">
    <w:p w14:paraId="04E58113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C22E6E" w:rsidRPr="00013AFB" w:rsidRDefault="00C22E6E">
      <w:pPr>
        <w:pStyle w:val="Tekstprzypisudolnego"/>
      </w:pPr>
    </w:p>
  </w:footnote>
  <w:footnote w:id="7">
    <w:p w14:paraId="4315C126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349F9936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69C56E41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562391F2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2DA2E50E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5D3A1264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17E06B0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1776F08B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8F6C7C8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6">
    <w:p w14:paraId="3E5B21D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492E1B4F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08DA7640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3FF732D7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20">
    <w:p w14:paraId="096647C9" w14:textId="77777777" w:rsidR="00C22E6E" w:rsidRPr="00013AFB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33DCB02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345EA29C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2D90F75E" w14:textId="77777777" w:rsidR="00C22E6E" w:rsidRPr="002E11F5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2D6E8992" w14:textId="77777777" w:rsidR="00C22E6E" w:rsidRPr="00013AFB" w:rsidRDefault="00C22E6E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04A07744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6">
    <w:p w14:paraId="1B0C1B49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3A7F801C" w14:textId="77777777" w:rsidR="00C22E6E" w:rsidRPr="00013AFB" w:rsidRDefault="00C22E6E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48627BAD" w14:textId="77777777" w:rsidR="00C22E6E" w:rsidRPr="00013AFB" w:rsidRDefault="00C22E6E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052F7CF5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09D9861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78F90374" w14:textId="282C3AA7" w:rsidR="00C22E6E" w:rsidRDefault="00C22E6E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r., a także konkursu ogłaszanego w dniu 6 lipca 2021 r.</w:t>
      </w:r>
    </w:p>
  </w:footnote>
  <w:footnote w:id="32">
    <w:p w14:paraId="04066BB6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055ECE4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211B62BD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2A7BF4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6862FA96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383431D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456A08A2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0FDA19C7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3D1BA27D" w14:textId="77777777" w:rsidR="00C22E6E" w:rsidRDefault="00C22E6E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68355BEA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62141D4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4858B056" w14:textId="6B5FA66A" w:rsidR="00922722" w:rsidRDefault="00922722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……………2022 r.</w:t>
      </w:r>
    </w:p>
  </w:footnote>
  <w:footnote w:id="44">
    <w:p w14:paraId="7CF99388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0D9DD4C0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7AF78577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04C81D85" w14:textId="77777777" w:rsidR="00C22E6E" w:rsidRPr="00BF181E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C213164" w14:textId="77777777" w:rsidR="00C22E6E" w:rsidRPr="00013AFB" w:rsidRDefault="00C22E6E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70707409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25206BA4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67CE3B7B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DCCD3C5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65E510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BA83F1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51647D8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1730A11A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3FA11BF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22BBA5EF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3D9805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A1C69A3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4F0D4D42" w14:textId="77777777" w:rsidR="00C22E6E" w:rsidRPr="00042236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C59BBE9" w14:textId="77777777" w:rsidR="00C22E6E" w:rsidRPr="00042236" w:rsidRDefault="00C22E6E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8AB8CE" w14:textId="77777777" w:rsidR="00C22E6E" w:rsidRPr="00042236" w:rsidRDefault="00C22E6E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49E08489" w14:textId="77777777" w:rsidR="00C22E6E" w:rsidRPr="00042236" w:rsidRDefault="00C22E6E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45496378" w14:textId="77777777" w:rsidR="00C22E6E" w:rsidRPr="00042236" w:rsidRDefault="00C22E6E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B79DB6C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7CE37621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3D37BD29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1E609A66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7B0FFFFC" w14:textId="77777777" w:rsidR="00C22E6E" w:rsidRPr="00013AFB" w:rsidRDefault="00C22E6E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2FDC6AF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35FF9E4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2A670360" w14:textId="77777777" w:rsidR="00C22E6E" w:rsidRDefault="00C22E6E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CF932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0F16DE51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7B5B8EE2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02855C8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8">
    <w:p w14:paraId="2FECD30B" w14:textId="12CC2C46" w:rsidR="00C22E6E" w:rsidRDefault="00C22E6E" w:rsidP="005351B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79">
    <w:p w14:paraId="356FBE80" w14:textId="4F578532" w:rsidR="00C22E6E" w:rsidRDefault="00C22E6E">
      <w:pPr>
        <w:pStyle w:val="Tekstprzypisudolnego"/>
      </w:pPr>
      <w:r w:rsidRPr="002D6058">
        <w:rPr>
          <w:rStyle w:val="Odwoanieprzypisudolnego"/>
        </w:rPr>
        <w:footnoteRef/>
      </w:r>
      <w:r w:rsidRPr="002D6058">
        <w:t xml:space="preserve"> W przypadku projektów przenoszonych z osi 3 Gospodarka niskoemisyjna dot. konkursu ogłoszonego w ramach tej osi</w:t>
      </w:r>
    </w:p>
  </w:footnote>
  <w:footnote w:id="80">
    <w:p w14:paraId="3B5894D1" w14:textId="5E821213" w:rsidR="0065794F" w:rsidRDefault="0065794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……………2022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FB8" w14:textId="77777777" w:rsidR="00C22E6E" w:rsidRDefault="00C22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183">
    <w:abstractNumId w:val="15"/>
  </w:num>
  <w:num w:numId="2" w16cid:durableId="1977295182">
    <w:abstractNumId w:val="5"/>
  </w:num>
  <w:num w:numId="3" w16cid:durableId="1274556235">
    <w:abstractNumId w:val="13"/>
  </w:num>
  <w:num w:numId="4" w16cid:durableId="609359908">
    <w:abstractNumId w:val="4"/>
  </w:num>
  <w:num w:numId="5" w16cid:durableId="1173491015">
    <w:abstractNumId w:val="1"/>
  </w:num>
  <w:num w:numId="6" w16cid:durableId="505369144">
    <w:abstractNumId w:val="18"/>
  </w:num>
  <w:num w:numId="7" w16cid:durableId="1419673381">
    <w:abstractNumId w:val="0"/>
  </w:num>
  <w:num w:numId="8" w16cid:durableId="319385293">
    <w:abstractNumId w:val="11"/>
  </w:num>
  <w:num w:numId="9" w16cid:durableId="1766800218">
    <w:abstractNumId w:val="41"/>
  </w:num>
  <w:num w:numId="10" w16cid:durableId="2060200897">
    <w:abstractNumId w:val="28"/>
  </w:num>
  <w:num w:numId="11" w16cid:durableId="572817375">
    <w:abstractNumId w:val="21"/>
  </w:num>
  <w:num w:numId="12" w16cid:durableId="2142454531">
    <w:abstractNumId w:val="19"/>
  </w:num>
  <w:num w:numId="13" w16cid:durableId="787820410">
    <w:abstractNumId w:val="38"/>
  </w:num>
  <w:num w:numId="14" w16cid:durableId="704213024">
    <w:abstractNumId w:val="9"/>
  </w:num>
  <w:num w:numId="15" w16cid:durableId="1048140465">
    <w:abstractNumId w:val="32"/>
  </w:num>
  <w:num w:numId="16" w16cid:durableId="1396317052">
    <w:abstractNumId w:val="36"/>
  </w:num>
  <w:num w:numId="17" w16cid:durableId="1743480546">
    <w:abstractNumId w:val="34"/>
  </w:num>
  <w:num w:numId="18" w16cid:durableId="1935287178">
    <w:abstractNumId w:val="40"/>
  </w:num>
  <w:num w:numId="19" w16cid:durableId="903221951">
    <w:abstractNumId w:val="26"/>
  </w:num>
  <w:num w:numId="20" w16cid:durableId="508713486">
    <w:abstractNumId w:val="16"/>
  </w:num>
  <w:num w:numId="21" w16cid:durableId="1212887513">
    <w:abstractNumId w:val="7"/>
  </w:num>
  <w:num w:numId="22" w16cid:durableId="1395738460">
    <w:abstractNumId w:val="2"/>
  </w:num>
  <w:num w:numId="23" w16cid:durableId="1126041607">
    <w:abstractNumId w:val="31"/>
  </w:num>
  <w:num w:numId="24" w16cid:durableId="715277558">
    <w:abstractNumId w:val="37"/>
  </w:num>
  <w:num w:numId="25" w16cid:durableId="1007244549">
    <w:abstractNumId w:val="8"/>
  </w:num>
  <w:num w:numId="26" w16cid:durableId="451169172">
    <w:abstractNumId w:val="35"/>
  </w:num>
  <w:num w:numId="27" w16cid:durableId="1475677581">
    <w:abstractNumId w:val="17"/>
  </w:num>
  <w:num w:numId="28" w16cid:durableId="531266331">
    <w:abstractNumId w:val="22"/>
  </w:num>
  <w:num w:numId="29" w16cid:durableId="410082445">
    <w:abstractNumId w:val="44"/>
  </w:num>
  <w:num w:numId="30" w16cid:durableId="332033413">
    <w:abstractNumId w:val="43"/>
  </w:num>
  <w:num w:numId="31" w16cid:durableId="1711295246">
    <w:abstractNumId w:val="0"/>
  </w:num>
  <w:num w:numId="32" w16cid:durableId="1598444698">
    <w:abstractNumId w:val="10"/>
  </w:num>
  <w:num w:numId="33" w16cid:durableId="415174613">
    <w:abstractNumId w:val="29"/>
  </w:num>
  <w:num w:numId="34" w16cid:durableId="1151601802">
    <w:abstractNumId w:val="6"/>
  </w:num>
  <w:num w:numId="35" w16cid:durableId="1523082906">
    <w:abstractNumId w:val="33"/>
  </w:num>
  <w:num w:numId="36" w16cid:durableId="1753621901">
    <w:abstractNumId w:val="45"/>
  </w:num>
  <w:num w:numId="37" w16cid:durableId="1986859065">
    <w:abstractNumId w:val="23"/>
  </w:num>
  <w:num w:numId="38" w16cid:durableId="464785087">
    <w:abstractNumId w:val="30"/>
  </w:num>
  <w:num w:numId="39" w16cid:durableId="1404642931">
    <w:abstractNumId w:val="25"/>
  </w:num>
  <w:num w:numId="40" w16cid:durableId="1108308807">
    <w:abstractNumId w:val="42"/>
  </w:num>
  <w:num w:numId="41" w16cid:durableId="812217167">
    <w:abstractNumId w:val="24"/>
  </w:num>
  <w:num w:numId="42" w16cid:durableId="1157107744">
    <w:abstractNumId w:val="27"/>
  </w:num>
  <w:num w:numId="43" w16cid:durableId="1760327769">
    <w:abstractNumId w:val="3"/>
  </w:num>
  <w:num w:numId="44" w16cid:durableId="641346762">
    <w:abstractNumId w:val="14"/>
  </w:num>
  <w:num w:numId="45" w16cid:durableId="585647194">
    <w:abstractNumId w:val="12"/>
  </w:num>
  <w:num w:numId="46" w16cid:durableId="1207763323">
    <w:abstractNumId w:val="20"/>
  </w:num>
  <w:num w:numId="47" w16cid:durableId="509638233">
    <w:abstractNumId w:val="36"/>
  </w:num>
  <w:num w:numId="48" w16cid:durableId="2049405355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27B"/>
    <w:rsid w:val="00025329"/>
    <w:rsid w:val="00025963"/>
    <w:rsid w:val="00026983"/>
    <w:rsid w:val="0003417B"/>
    <w:rsid w:val="0003532D"/>
    <w:rsid w:val="000371D5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6121"/>
    <w:rsid w:val="000C763D"/>
    <w:rsid w:val="000D0455"/>
    <w:rsid w:val="000D0C61"/>
    <w:rsid w:val="000D1933"/>
    <w:rsid w:val="000D51E7"/>
    <w:rsid w:val="000E0CA5"/>
    <w:rsid w:val="000E1A11"/>
    <w:rsid w:val="000E1DB0"/>
    <w:rsid w:val="000E265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87366"/>
    <w:rsid w:val="002955DC"/>
    <w:rsid w:val="00296A47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D6058"/>
    <w:rsid w:val="002D642D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4DF9"/>
    <w:rsid w:val="00315AD7"/>
    <w:rsid w:val="00316F35"/>
    <w:rsid w:val="003203C4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46EB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1F46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47E50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1EB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5ACA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16DA"/>
    <w:rsid w:val="00523226"/>
    <w:rsid w:val="005241F1"/>
    <w:rsid w:val="005241FD"/>
    <w:rsid w:val="00526548"/>
    <w:rsid w:val="00530FE3"/>
    <w:rsid w:val="00532933"/>
    <w:rsid w:val="005341B2"/>
    <w:rsid w:val="005343C1"/>
    <w:rsid w:val="005351BC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39F6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00FB8"/>
    <w:rsid w:val="00606FAC"/>
    <w:rsid w:val="006152C8"/>
    <w:rsid w:val="00616985"/>
    <w:rsid w:val="00617EF1"/>
    <w:rsid w:val="0063027E"/>
    <w:rsid w:val="006322F0"/>
    <w:rsid w:val="006324CA"/>
    <w:rsid w:val="0063370F"/>
    <w:rsid w:val="00640110"/>
    <w:rsid w:val="0064152C"/>
    <w:rsid w:val="00642E37"/>
    <w:rsid w:val="0064672B"/>
    <w:rsid w:val="006503C0"/>
    <w:rsid w:val="00651E25"/>
    <w:rsid w:val="0065628C"/>
    <w:rsid w:val="0065794F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3995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53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E0250"/>
    <w:rsid w:val="007F0BF7"/>
    <w:rsid w:val="007F13DD"/>
    <w:rsid w:val="007F21DE"/>
    <w:rsid w:val="007F246F"/>
    <w:rsid w:val="007F4C27"/>
    <w:rsid w:val="00801880"/>
    <w:rsid w:val="00802949"/>
    <w:rsid w:val="008035B9"/>
    <w:rsid w:val="00806B66"/>
    <w:rsid w:val="0080714A"/>
    <w:rsid w:val="00807A53"/>
    <w:rsid w:val="0082055F"/>
    <w:rsid w:val="00821267"/>
    <w:rsid w:val="00823962"/>
    <w:rsid w:val="00823BE9"/>
    <w:rsid w:val="0082525C"/>
    <w:rsid w:val="00825586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72F2"/>
    <w:rsid w:val="00880E60"/>
    <w:rsid w:val="00886349"/>
    <w:rsid w:val="00886E70"/>
    <w:rsid w:val="008930E6"/>
    <w:rsid w:val="008931C5"/>
    <w:rsid w:val="00894767"/>
    <w:rsid w:val="0089612D"/>
    <w:rsid w:val="00896966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722"/>
    <w:rsid w:val="00922EE0"/>
    <w:rsid w:val="009237D2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574DC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A6C47"/>
    <w:rsid w:val="009B3E6D"/>
    <w:rsid w:val="009B65DB"/>
    <w:rsid w:val="009C18C1"/>
    <w:rsid w:val="009C40E3"/>
    <w:rsid w:val="009C5E89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51D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4D7E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4F22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55AC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2E0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2E6E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E7A1F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BDF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5928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66A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DF727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1C92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3D9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67A1B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03EA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CCE"/>
    <w:rsid w:val="00FE7E26"/>
    <w:rsid w:val="00FF172A"/>
    <w:rsid w:val="00FF4158"/>
    <w:rsid w:val="00FF44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14BFCED-B47D-46F0-8C6E-1C94E85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89888-E347-4D2F-9651-0869076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10588</Words>
  <Characters>63533</Characters>
  <Application>Microsoft Office Word</Application>
  <DocSecurity>0</DocSecurity>
  <Lines>529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Magdalena Danowska</cp:lastModifiedBy>
  <cp:revision>7</cp:revision>
  <cp:lastPrinted>2022-03-22T10:12:00Z</cp:lastPrinted>
  <dcterms:created xsi:type="dcterms:W3CDTF">2022-04-15T07:29:00Z</dcterms:created>
  <dcterms:modified xsi:type="dcterms:W3CDTF">2022-09-21T08:29:00Z</dcterms:modified>
</cp:coreProperties>
</file>