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97F" w:rsidRDefault="00B71741" w:rsidP="002D597F">
      <w:pPr>
        <w:rPr>
          <w:sz w:val="20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2D597F">
        <w:rPr>
          <w:rFonts w:cs="Arial"/>
          <w:sz w:val="20"/>
          <w:szCs w:val="20"/>
          <w:lang w:eastAsia="en-US"/>
        </w:rPr>
        <w:t xml:space="preserve"> </w:t>
      </w:r>
      <w:r w:rsidR="00BE587B">
        <w:rPr>
          <w:sz w:val="20"/>
        </w:rPr>
        <w:t>29 grudnia 2020 r.</w:t>
      </w:r>
      <w:bookmarkStart w:id="0" w:name="_GoBack"/>
      <w:bookmarkEnd w:id="0"/>
    </w:p>
    <w:p w:rsidR="00B71741" w:rsidRPr="009F303C" w:rsidRDefault="00B71741" w:rsidP="002D597F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:rsidR="00BA376B" w:rsidRPr="00DD0783" w:rsidRDefault="00BA376B" w:rsidP="00C10F6C">
      <w:pPr>
        <w:spacing w:after="0" w:line="240" w:lineRule="auto"/>
        <w:ind w:left="5103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:rsidR="00BA376B" w:rsidRPr="00DD0783" w:rsidRDefault="00AC4264" w:rsidP="003C3DD4">
      <w:pPr>
        <w:pStyle w:val="ListParagraph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FootnoteReference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lastRenderedPageBreak/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FootnoteReference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FootnoteReference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9"/>
        <w:gridCol w:w="6563"/>
      </w:tblGrid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Reguła ta nie ma zastosowania w przypadku Działania 1.4 Internacjonalizacja przedsiębiorstw – projekty, których celem jest </w:t>
            </w:r>
            <w:r w:rsidRPr="00DD0783">
              <w:lastRenderedPageBreak/>
              <w:t>promocja, Działania 4.1 Gospodarka odpadami oraz Działania 5.2 System transportu kolejowego, zasady realizacji których zapisano bezpośrednio w RPO WD 2014-2020.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FootnoteReference"/>
              </w:rPr>
              <w:footnoteReference w:id="5"/>
            </w:r>
            <w:r w:rsidRPr="00DD0783">
              <w:t>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 xml:space="preserve">Zasadach ubiegania się o </w:t>
            </w:r>
            <w:r w:rsidRPr="002873AD">
              <w:rPr>
                <w:i/>
              </w:rPr>
              <w:lastRenderedPageBreak/>
              <w:t>wsparcie w trybie pozakonkursowym</w:t>
            </w:r>
            <w:r w:rsidRPr="00D97C03">
              <w:rPr>
                <w:i/>
              </w:rPr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:rsidR="00A055C8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:rsidR="00894767" w:rsidRPr="00DD0783" w:rsidRDefault="00894767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:rsidR="00894767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:rsidR="00A2094C" w:rsidRPr="00DD0783" w:rsidRDefault="00A2094C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:rsidR="00A2094C" w:rsidRPr="00DD0783" w:rsidRDefault="00D57423" w:rsidP="00E71C5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lastRenderedPageBreak/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:rsidR="000A7F5D" w:rsidRPr="00DD0783" w:rsidRDefault="000A7F5D" w:rsidP="00F55C85">
            <w:pPr>
              <w:spacing w:after="120" w:line="240" w:lineRule="auto"/>
            </w:pPr>
            <w:r>
              <w:t xml:space="preserve">Wyłączenie kwalifikowalności wydatków w zakresie </w:t>
            </w:r>
            <w:r w:rsidR="00C81B0F" w:rsidRPr="00C81B0F">
              <w:rPr>
                <w:b/>
              </w:rPr>
              <w:t>usług księgowych,</w:t>
            </w:r>
            <w:r w:rsidR="00C81B0F">
              <w:t xml:space="preserve"> </w:t>
            </w:r>
            <w:r w:rsidRPr="00D97C03">
              <w:rPr>
                <w:b/>
              </w:rPr>
              <w:t>ewaluacji i audytu</w:t>
            </w:r>
            <w:r>
              <w:t xml:space="preserve"> nie dotyczy pilotażowego projektu pozakonkursowego Catching Up w ramach Poddziałania 1.3.4 D,</w:t>
            </w:r>
            <w:r w:rsidRPr="00DD0783">
              <w:t xml:space="preserve"> </w:t>
            </w:r>
            <w:r w:rsidRPr="00D97C03">
              <w:t xml:space="preserve">dla którego stosowne uregulowania znajdą się w </w:t>
            </w:r>
            <w:r w:rsidRPr="00D97C03">
              <w:rPr>
                <w:i/>
              </w:rPr>
              <w:t>Zasadach ubiegania się o wsparcie w trybie pozakonkursowym.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FootnoteReference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</w:t>
            </w:r>
            <w:r w:rsidRPr="00DD0783">
              <w:lastRenderedPageBreak/>
              <w:t>mogą być wydatki osobowe związane z wynagrodzeniem ww. osób przy wykonywaniu ww. czynności w projekcie, jeżeli łącznie spełnione zostaną m.in. następujące warunki: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DD0783" w:rsidRDefault="00751EAB" w:rsidP="00E71C56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FootnoteReference"/>
              </w:rPr>
              <w:footnoteReference w:id="8"/>
            </w:r>
            <w:r w:rsidR="00B46B35"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>Powyższe ograniczenia nie dotyczą pilotażowego projektu pozakonkursowego Catching Up w ramach Poddziałania 1.3.4 D</w:t>
            </w:r>
            <w:r w:rsidRPr="00215C3A">
              <w:t xml:space="preserve">,  dla którego stosowne uregulowania znajdą się w </w:t>
            </w:r>
            <w:r w:rsidRPr="00215C3A">
              <w:rPr>
                <w:i/>
              </w:rPr>
              <w:t>Zasadach ubiegania się o wsparcie w trybie pozakonkursowym.</w:t>
            </w:r>
          </w:p>
          <w:p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3B2988">
            <w:pPr>
              <w:pStyle w:val="ListParagraph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 xml:space="preserve">/koszty wyposażenia stanowiska </w:t>
            </w:r>
            <w:r w:rsidR="00A23F33" w:rsidRPr="00DD0783">
              <w:rPr>
                <w:b/>
              </w:rPr>
              <w:lastRenderedPageBreak/>
              <w:t>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FootnoteReference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Koszty bieżącego utrzymania/koszty wyposażenia stanowiska pracy (jeżeli nie jest to celem projektu)/ koszty operacyjne/bieżące stanowią </w:t>
            </w:r>
            <w:r w:rsidRPr="00DD0783">
              <w:lastRenderedPageBreak/>
              <w:t>wydatki niekwalifikowalne.</w:t>
            </w:r>
          </w:p>
          <w:p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A3700C" w:rsidRPr="00DD0783" w:rsidRDefault="00A3700C" w:rsidP="00316F35">
            <w:pPr>
              <w:spacing w:before="120" w:after="120" w:line="240" w:lineRule="auto"/>
              <w:jc w:val="both"/>
            </w:pPr>
            <w:r>
              <w:t>Powyższe ograniczenia nie dotyczą pilotażowego projektu pozakonkursowego Catching Up w ramach Poddziałania 1.3.4 D</w:t>
            </w:r>
            <w:r w:rsidRPr="00215C3A">
              <w:t xml:space="preserve">,  dla którego stosowne uregulowania znajdą się w </w:t>
            </w:r>
            <w:r w:rsidRPr="00215C3A">
              <w:rPr>
                <w:i/>
              </w:rPr>
              <w:t>Zasadach ubiegania się o wsparcie w trybie pozakonkursowym.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FootnoteReference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:rsidR="00A3700C" w:rsidRPr="00DD0783" w:rsidRDefault="00A3700C" w:rsidP="00316F35">
            <w:pPr>
              <w:spacing w:before="120" w:after="120" w:line="240" w:lineRule="auto"/>
              <w:jc w:val="both"/>
            </w:pPr>
            <w:r>
              <w:t>Powyższe ograniczenia nie dotyczą pilotażowego projektu pozakonkursowego Catching Up w ramach Poddziałania 1.3.4 D</w:t>
            </w:r>
            <w:r w:rsidRPr="00215C3A">
              <w:t xml:space="preserve">,  dla którego stosowne uregulowania znajdą się w </w:t>
            </w:r>
            <w:r w:rsidRPr="00215C3A">
              <w:rPr>
                <w:i/>
              </w:rPr>
              <w:t>Zasadach ubiegania się o wsparcie w trybie pozakonkursowym.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lastRenderedPageBreak/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FootnoteReference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:rsidR="00A26918" w:rsidRDefault="00A26918" w:rsidP="003B2988">
      <w:pPr>
        <w:jc w:val="both"/>
        <w:rPr>
          <w:b/>
        </w:rPr>
      </w:pPr>
    </w:p>
    <w:p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CD30E3" w:rsidRDefault="00A23F33" w:rsidP="00E71C56">
      <w:pPr>
        <w:pStyle w:val="ListParagraph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:rsidR="00144BB9" w:rsidRPr="00DD0783" w:rsidRDefault="00144BB9" w:rsidP="00E71C56">
      <w:pPr>
        <w:pStyle w:val="ListParagraph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FootnoteReference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:rsidR="0020624F" w:rsidRPr="00DD0783" w:rsidRDefault="00EC2BA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FootnoteReference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:rsidR="00E17D76" w:rsidRPr="00DD0783" w:rsidRDefault="00E17D76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FootnoteReference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:rsidR="00DD5F4B" w:rsidRPr="00911BE4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lastRenderedPageBreak/>
        <w:t>Wydatki związane z działaniami informacyjno-promocyjnymi projektu</w:t>
      </w:r>
      <w:r w:rsidR="00DD5F4B">
        <w:rPr>
          <w:rStyle w:val="FootnoteReference"/>
        </w:rPr>
        <w:footnoteReference w:id="16"/>
      </w:r>
      <w:r w:rsidR="00DD5F4B" w:rsidRPr="00DD0783">
        <w:rPr>
          <w:rStyle w:val="EndnoteReference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:rsidR="00DD5F4B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:rsidR="00DD5F4B" w:rsidRPr="00E71C56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:rsidR="00DD5F4B" w:rsidRDefault="00DD5F4B" w:rsidP="00DB74FC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:rsidR="00DD5F4B" w:rsidRPr="00DD0783" w:rsidRDefault="00DD5F4B" w:rsidP="003B2988">
      <w:pPr>
        <w:pStyle w:val="ListParagraph"/>
        <w:spacing w:after="0"/>
        <w:jc w:val="both"/>
      </w:pPr>
    </w:p>
    <w:p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:rsidR="00DD5F4B" w:rsidRPr="00DD0783" w:rsidRDefault="00DD5F4B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DD0783" w:rsidRDefault="00DD5F4B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FootnoteReference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:rsidR="00F64A55" w:rsidRPr="00DD0783" w:rsidRDefault="00F64A55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FootnoteReference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:rsidR="001D4A2D" w:rsidRPr="00DD0783" w:rsidRDefault="001D4A2D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:rsidR="00954E4C" w:rsidRPr="00DD0783" w:rsidRDefault="00954E4C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FootnoteReference"/>
        </w:rPr>
        <w:footnoteReference w:id="19"/>
      </w:r>
      <w:r w:rsidR="001213D3" w:rsidRPr="00DD0783">
        <w:t>.</w:t>
      </w:r>
    </w:p>
    <w:p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wewnętrzną infrastrukturę komunikacyjną przewyższające 49% wartości projektu.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FootnoteReference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FootnoteReference"/>
          <w:rFonts w:cs="Arial"/>
        </w:rPr>
        <w:footnoteReference w:id="21"/>
      </w:r>
      <w:r w:rsidRPr="00DD0783">
        <w:rPr>
          <w:rFonts w:cs="Arial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FootnoteReference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:rsidR="00A3700C" w:rsidRPr="002873AD" w:rsidRDefault="00A3700C" w:rsidP="00A3700C">
      <w:pPr>
        <w:pStyle w:val="ListParagraph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:rsidR="00A3700C" w:rsidRPr="00A3700C" w:rsidRDefault="005D6291" w:rsidP="00A3700C">
      <w:pPr>
        <w:pStyle w:val="ListParagraph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FootnoteReference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b/>
        </w:rPr>
      </w:pP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lastRenderedPageBreak/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5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  <w:rPr>
          <w:rFonts w:eastAsiaTheme="majorEastAsia" w:cstheme="majorBidi"/>
          <w:b/>
          <w:bCs/>
        </w:rPr>
      </w:pPr>
    </w:p>
    <w:p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6"/>
      </w:r>
      <w:r w:rsidRPr="00DD0783">
        <w:t>.</w:t>
      </w:r>
    </w:p>
    <w:p w:rsidR="00A23F33" w:rsidRPr="00DD0783" w:rsidRDefault="00A23F33" w:rsidP="003B2988">
      <w:pPr>
        <w:pStyle w:val="ListParagraph"/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FootnoteReference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Wkład niepieniężny stanowiący część wkładu własnego przekraczający 10% całkowitych wydatków kwalifikowalnych.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28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FootnoteReference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:rsidR="00A23F33" w:rsidRDefault="00A23F33" w:rsidP="00E71C5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FootnoteReference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FootnoteReference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:rsidR="001B7507" w:rsidRPr="0054205A" w:rsidRDefault="001B7507" w:rsidP="00E71C5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:rsidR="001B7507" w:rsidRDefault="001B7507" w:rsidP="00E71C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:rsidR="000B129E" w:rsidRDefault="000B129E" w:rsidP="00E71C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</w:p>
    <w:p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:rsidR="00A23F33" w:rsidRPr="00DD0783" w:rsidRDefault="00A23F33" w:rsidP="00E71C56">
      <w:pPr>
        <w:pStyle w:val="ListParagraph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:rsidR="009261C8" w:rsidRPr="00DD0783" w:rsidRDefault="009261C8" w:rsidP="00E71C56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FootnoteReference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:rsidR="00C34307" w:rsidRPr="00DD0783" w:rsidRDefault="00C34307" w:rsidP="003B2988">
      <w:pPr>
        <w:pStyle w:val="ListParagraph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FootnoteReference"/>
        </w:rPr>
        <w:footnoteReference w:id="33"/>
      </w:r>
      <w:r w:rsidRPr="00DD0783">
        <w:t>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lastRenderedPageBreak/>
        <w:t>Wydatki związane z zakupem środków transportu.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FootnoteReference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:rsidR="0089612D" w:rsidRPr="00DD0783" w:rsidRDefault="0089612D" w:rsidP="00E71C56">
      <w:pPr>
        <w:pStyle w:val="ListParagraph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C34307" w:rsidRPr="00DD0783" w:rsidRDefault="00C34307" w:rsidP="003B2988">
      <w:pPr>
        <w:pStyle w:val="ListParagraph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FootnoteReference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FootnoteReference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ListParagraph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FootnoteReference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:rsidR="001E33E2" w:rsidRPr="00DD0783" w:rsidRDefault="001E33E2" w:rsidP="00E71C56">
      <w:pPr>
        <w:pStyle w:val="ListParagraph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FootnoteReference"/>
        </w:rPr>
        <w:footnoteReference w:id="38"/>
      </w:r>
      <w:r w:rsidRPr="00DD0783">
        <w:t>.</w:t>
      </w:r>
    </w:p>
    <w:p w:rsidR="001213D3" w:rsidRPr="00DD0783" w:rsidRDefault="001D4A2D" w:rsidP="00E71C56">
      <w:pPr>
        <w:pStyle w:val="ListParagraph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FootnoteReference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FootnoteReference"/>
        </w:rPr>
        <w:footnoteReference w:id="40"/>
      </w:r>
      <w:r w:rsidR="00880E60">
        <w:t>.</w:t>
      </w:r>
    </w:p>
    <w:p w:rsidR="00014B07" w:rsidRPr="00DD078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:rsidR="00A23F33" w:rsidRPr="00DD0783" w:rsidRDefault="00014B07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lastRenderedPageBreak/>
        <w:t>Wydatki na wynagrodzenia będące efektem tworzenia nowych miejsc pracy</w:t>
      </w:r>
      <w:r w:rsidRPr="00DD0783">
        <w:rPr>
          <w:rStyle w:val="FootnoteReference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:rsidR="00A23F33" w:rsidRPr="009E58A1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:rsidR="009C18C1" w:rsidRPr="009E58A1" w:rsidRDefault="009C18C1" w:rsidP="00E71C56">
      <w:pPr>
        <w:pStyle w:val="ListParagraph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FootnoteReference"/>
          <w:rFonts w:eastAsia="Times New Roman" w:cs="Times New Roman"/>
        </w:rPr>
        <w:footnoteReference w:id="42"/>
      </w:r>
    </w:p>
    <w:p w:rsidR="00283995" w:rsidRPr="00283995" w:rsidRDefault="00283995" w:rsidP="00E71C56">
      <w:pPr>
        <w:pStyle w:val="ListParagraph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:rsidR="00283995" w:rsidRDefault="00283995" w:rsidP="00880E60">
      <w:pPr>
        <w:pStyle w:val="ListParagraph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FootnoteReference"/>
        </w:rPr>
        <w:footnoteReference w:id="43"/>
      </w:r>
      <w:r>
        <w:t>.</w:t>
      </w:r>
    </w:p>
    <w:p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:rsidR="005241FD" w:rsidRPr="00D97D82" w:rsidRDefault="00AC51C3" w:rsidP="00E71C56">
      <w:pPr>
        <w:pStyle w:val="ListParagraph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:rsidR="00A8521C" w:rsidRDefault="00A8521C" w:rsidP="00E71C56">
      <w:pPr>
        <w:pStyle w:val="ListParagraph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:rsidR="00A8521C" w:rsidRDefault="00A8521C" w:rsidP="00E71C56">
      <w:pPr>
        <w:pStyle w:val="ListParagraph"/>
        <w:numPr>
          <w:ilvl w:val="0"/>
          <w:numId w:val="10"/>
        </w:numPr>
        <w:ind w:left="1134"/>
        <w:jc w:val="both"/>
      </w:pPr>
      <w:r>
        <w:lastRenderedPageBreak/>
        <w:t>wydatki ponoszone są wyłącznie w okresie realizacji projektu oraz za okres, w którym ww. osoba wykonywała faktycznie czynności związane w ramach projektu.</w:t>
      </w:r>
    </w:p>
    <w:p w:rsidR="00AC51C3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:rsidR="009C18C1" w:rsidRDefault="009C18C1" w:rsidP="00E71C56">
      <w:pPr>
        <w:pStyle w:val="ListParagraph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:rsidR="009C18C1" w:rsidRDefault="00661694" w:rsidP="00E71C56">
      <w:pPr>
        <w:pStyle w:val="ListParagraph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:rsidR="00C43638" w:rsidRPr="00C43638" w:rsidRDefault="00C43638" w:rsidP="00C43638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FootnoteReference"/>
          <w:rFonts w:cs="Arial"/>
        </w:rPr>
        <w:footnoteReference w:id="44"/>
      </w:r>
    </w:p>
    <w:p w:rsidR="00C43638" w:rsidRPr="00DD0783" w:rsidRDefault="00C43638" w:rsidP="00E71C56">
      <w:pPr>
        <w:pStyle w:val="ListParagraph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FootnoteReference"/>
          <w:rFonts w:cs="Arial"/>
          <w:iCs/>
        </w:rPr>
        <w:footnoteReference w:id="45"/>
      </w:r>
    </w:p>
    <w:p w:rsidR="0010120B" w:rsidRDefault="0010120B" w:rsidP="001B7507">
      <w:pPr>
        <w:spacing w:after="0"/>
        <w:jc w:val="both"/>
        <w:rPr>
          <w:b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:rsidR="00A23F33" w:rsidRPr="00DD0783" w:rsidRDefault="00A23F33" w:rsidP="00E71C56">
      <w:pPr>
        <w:pStyle w:val="ListParagraph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:rsidR="0043438C" w:rsidRDefault="0043438C" w:rsidP="00E71C56">
      <w:pPr>
        <w:pStyle w:val="ListParagraph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:rsidR="005514D5" w:rsidRPr="00DD0783" w:rsidRDefault="005514D5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FootnoteReference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</w:t>
      </w:r>
      <w:r w:rsidR="00B000CD">
        <w:lastRenderedPageBreak/>
        <w:t>lecz pozostałe typy (3.4 b, c, d, e). Dla projektów polegających tylko na zakupie/modernizacji taboru (3.4 a) limit wynosi 25%.</w:t>
      </w:r>
    </w:p>
    <w:p w:rsidR="00A23F33" w:rsidRDefault="00A23F33" w:rsidP="00E71C56">
      <w:pPr>
        <w:pStyle w:val="ListParagraph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FootnoteReference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FootnoteReference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:rsidR="00A77673" w:rsidRPr="00746B7B" w:rsidRDefault="0022532B" w:rsidP="00746B7B">
      <w:pPr>
        <w:pStyle w:val="ListParagraph"/>
        <w:numPr>
          <w:ilvl w:val="0"/>
          <w:numId w:val="30"/>
        </w:numPr>
        <w:spacing w:line="240" w:lineRule="auto"/>
        <w:ind w:left="360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8D002F">
        <w:rPr>
          <w:rFonts w:cs="Arial"/>
        </w:rPr>
        <w:t>zgodnie z definicją z ustawy z dnia 20 czerwca 1997 r. Prawo o ruchu drogowym</w:t>
      </w:r>
      <w:r w:rsidR="00746B7B">
        <w:rPr>
          <w:rFonts w:cs="Arial"/>
        </w:rPr>
        <w:t>.</w:t>
      </w:r>
      <w:r w:rsidR="0009794A" w:rsidRPr="008D002F">
        <w:rPr>
          <w:rFonts w:cs="Arial"/>
        </w:rPr>
        <w:t xml:space="preserve"> </w:t>
      </w:r>
      <w:r w:rsidR="001113B7"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="001113B7" w:rsidRPr="008D002F">
        <w:rPr>
          <w:rFonts w:cs="Arial"/>
        </w:rPr>
        <w:t>3.4 e</w:t>
      </w:r>
      <w:r w:rsidR="001113B7"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:rsidR="001113B7" w:rsidRPr="0045119D" w:rsidRDefault="001113B7" w:rsidP="001113B7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:rsidR="001113B7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:rsidR="001113B7" w:rsidRPr="00B43F6B" w:rsidRDefault="001113B7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:rsidR="000E1A11" w:rsidRPr="0009794A" w:rsidRDefault="000E1A11" w:rsidP="00E71C56">
      <w:pPr>
        <w:pStyle w:val="ListParagraph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:rsidR="00A23F33" w:rsidRPr="00DD0783" w:rsidRDefault="00A23F33" w:rsidP="00E71C56">
      <w:pPr>
        <w:pStyle w:val="ListParagraph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:rsidR="00A23F33" w:rsidRPr="00DD0783" w:rsidRDefault="00A23F33" w:rsidP="00E71C56">
      <w:pPr>
        <w:pStyle w:val="ListParagraph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:rsidR="00E74430" w:rsidRPr="00E74430" w:rsidRDefault="00A23F33" w:rsidP="00E74430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lastRenderedPageBreak/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:rsidR="00A23F33" w:rsidRDefault="00A23F33" w:rsidP="00E71C56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2D017D" w:rsidRDefault="00455244" w:rsidP="002F5739">
      <w:pPr>
        <w:pStyle w:val="ListParagraph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:rsidR="002D017D" w:rsidRDefault="002D017D" w:rsidP="00A476E8">
      <w:pPr>
        <w:pStyle w:val="ListParagraph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:rsidR="00455244" w:rsidRPr="0028003C" w:rsidRDefault="00455244" w:rsidP="002F5739">
      <w:pPr>
        <w:pStyle w:val="ListParagraph"/>
        <w:spacing w:after="0"/>
        <w:jc w:val="both"/>
        <w:rPr>
          <w:rFonts w:cs="Times New Roman"/>
        </w:rPr>
      </w:pPr>
    </w:p>
    <w:p w:rsidR="006B4515" w:rsidRDefault="006B4515" w:rsidP="003B2988">
      <w:pPr>
        <w:pStyle w:val="ListParagraph"/>
        <w:spacing w:after="0"/>
        <w:ind w:left="714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:rsidR="00A23F33" w:rsidRPr="00DD0783" w:rsidRDefault="00A23F33" w:rsidP="00E71C56">
      <w:pPr>
        <w:pStyle w:val="ListParagraph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:rsidR="006B4515" w:rsidRPr="00DD0783" w:rsidRDefault="006B4515" w:rsidP="003B2988">
      <w:pPr>
        <w:pStyle w:val="ListParagraph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:rsidR="000F7BCE" w:rsidRDefault="00A23F33" w:rsidP="00B43F6B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:rsidR="000E298A" w:rsidRPr="00D109AA" w:rsidRDefault="000F7BCE" w:rsidP="00B43F6B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:rsidR="00A3315B" w:rsidRDefault="005C51F6" w:rsidP="00E0122E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:rsidR="000E298A" w:rsidRDefault="005C51F6" w:rsidP="00E0122E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:rsidR="000E298A" w:rsidRDefault="005C51F6" w:rsidP="000E298A">
      <w:pPr>
        <w:pStyle w:val="ListParagraph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:rsidR="001B7507" w:rsidRPr="00DD0783" w:rsidRDefault="001B7507" w:rsidP="00E0122E">
      <w:pPr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:rsidR="00A23F33" w:rsidRPr="00DD0783" w:rsidRDefault="00A23F33" w:rsidP="00E71C56">
      <w:pPr>
        <w:pStyle w:val="ListParagraph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5.1 Drogowa dostępność transportowa: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:rsidR="00A23F33" w:rsidRPr="00DD0783" w:rsidRDefault="00A23F33" w:rsidP="00E71C56">
      <w:pPr>
        <w:pStyle w:val="ListParagraph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FootnoteReference"/>
        </w:rPr>
        <w:footnoteReference w:id="49"/>
      </w:r>
      <w:r w:rsidRPr="00DD0783">
        <w:t xml:space="preserve"> można uznać za kwalifikowalne zgodnie z poniższymi regułami: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FootnoteReference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FootnoteReference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 xml:space="preserve">Wydatki na zakup środków transportu nieposiadających świadectwa/certyfikatu dopuszczenia określonego typu pojazdu kolejowego do eksploatacji na obszarze </w:t>
      </w:r>
      <w:r w:rsidRPr="00DD0783">
        <w:lastRenderedPageBreak/>
        <w:t>Rzeczypospolitej Polskiej (spełnienia wymogów np. bezpieczeństwa, środowiskowych, technicznych oraz dotyczących przewozu osób niepełnosprawnych), wydanych przez Urząd Transportu Kolejowego.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:rsidR="00A23F33" w:rsidRPr="00DD0783" w:rsidRDefault="00A23F33" w:rsidP="00E71C56">
      <w:pPr>
        <w:pStyle w:val="ListParagraph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:rsidR="00A70007" w:rsidRPr="00DD0783" w:rsidRDefault="00A70007" w:rsidP="00E71C56">
      <w:pPr>
        <w:pStyle w:val="ListParagraph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FootnoteReference"/>
          <w:b/>
        </w:rPr>
        <w:footnoteReference w:id="54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FootnoteReference"/>
        </w:rPr>
        <w:footnoteReference w:id="55"/>
      </w:r>
      <w:r w:rsidRPr="00DD0783">
        <w:t>.</w:t>
      </w:r>
    </w:p>
    <w:p w:rsidR="006B4515" w:rsidRPr="00DD0783" w:rsidRDefault="006B4515" w:rsidP="003B2988">
      <w:pPr>
        <w:pStyle w:val="ListParagraph"/>
        <w:spacing w:after="0"/>
        <w:ind w:left="714"/>
        <w:jc w:val="both"/>
        <w:rPr>
          <w:b/>
        </w:rPr>
      </w:pPr>
    </w:p>
    <w:p w:rsidR="00897BAD" w:rsidRDefault="00FD7775" w:rsidP="001B7507">
      <w:pPr>
        <w:pStyle w:val="ListParagraph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:rsidR="00A23F33" w:rsidRPr="00DD0783" w:rsidRDefault="00897BAD" w:rsidP="001B7507">
      <w:pPr>
        <w:pStyle w:val="ListParagraph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związane z termomodernizacją,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FootnoteReference"/>
        </w:rPr>
        <w:footnoteReference w:id="56"/>
      </w:r>
      <w:r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FootnoteReference"/>
          <w:u w:val="single"/>
        </w:rPr>
        <w:footnoteReference w:id="57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FootnoteReference"/>
          <w:u w:val="single"/>
        </w:rPr>
        <w:footnoteReference w:id="58"/>
      </w:r>
      <w:r w:rsidRPr="00DD0783">
        <w:t>.</w:t>
      </w:r>
    </w:p>
    <w:p w:rsidR="005953E3" w:rsidRDefault="005953E3" w:rsidP="004F19B4">
      <w:pPr>
        <w:pStyle w:val="ListParagraph"/>
        <w:jc w:val="both"/>
      </w:pPr>
    </w:p>
    <w:p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:rsidR="00897BAD" w:rsidRPr="00DD0783" w:rsidRDefault="00897BAD" w:rsidP="00897BAD">
      <w:pPr>
        <w:pStyle w:val="ListParagraph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:rsidR="00F5436C" w:rsidRPr="00F5436C" w:rsidRDefault="00835E34" w:rsidP="00FD7901">
      <w:pPr>
        <w:pStyle w:val="ListParagraph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:rsidR="004F19B4" w:rsidRPr="00DD0783" w:rsidRDefault="004F19B4" w:rsidP="003B2988">
      <w:pPr>
        <w:pStyle w:val="ListParagraph"/>
        <w:jc w:val="both"/>
      </w:pPr>
    </w:p>
    <w:p w:rsidR="00A23F33" w:rsidRPr="00DD0783" w:rsidRDefault="00FD7775" w:rsidP="003B2988">
      <w:pPr>
        <w:pStyle w:val="ListParagraph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:rsidR="00042236" w:rsidRPr="00DD0783" w:rsidRDefault="00FC3DFA" w:rsidP="00E71C56">
      <w:pPr>
        <w:pStyle w:val="ListParagraph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FootnoteReference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:rsidR="00835141" w:rsidRPr="00DD0783" w:rsidRDefault="00835141" w:rsidP="00E71C56">
      <w:pPr>
        <w:pStyle w:val="ListParagraph"/>
        <w:numPr>
          <w:ilvl w:val="0"/>
          <w:numId w:val="12"/>
        </w:numPr>
        <w:jc w:val="both"/>
      </w:pPr>
      <w:r w:rsidRPr="00DD0783">
        <w:lastRenderedPageBreak/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FootnoteReference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FootnoteReference"/>
        </w:rPr>
        <w:footnoteReference w:id="63"/>
      </w:r>
      <w:r w:rsidRPr="00DD0783">
        <w:t xml:space="preserve">) </w:t>
      </w:r>
      <w:bookmarkEnd w:id="20"/>
      <w:r w:rsidRPr="00DD0783">
        <w:rPr>
          <w:rStyle w:val="FootnoteReference"/>
        </w:rPr>
        <w:footnoteReference w:id="64"/>
      </w:r>
      <w:r w:rsidRPr="00DD0783">
        <w:t>.</w:t>
      </w:r>
    </w:p>
    <w:p w:rsidR="00A23F33" w:rsidRPr="00DD0783" w:rsidRDefault="00042236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FootnoteReference"/>
        </w:rPr>
        <w:footnoteReference w:id="65"/>
      </w:r>
      <w:r w:rsidR="00981291" w:rsidRPr="00DD0783">
        <w:t>.</w:t>
      </w:r>
    </w:p>
    <w:p w:rsidR="00A23F33" w:rsidRPr="00DD0783" w:rsidRDefault="00A23F33" w:rsidP="00E71C56">
      <w:pPr>
        <w:pStyle w:val="ListParagraph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FootnoteReference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FootnoteReference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FootnoteReference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FootnoteReference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zakup używanych środków trwałych.</w:t>
      </w:r>
    </w:p>
    <w:p w:rsidR="00FA6BCC" w:rsidRPr="00DD0783" w:rsidRDefault="00FA6BCC" w:rsidP="00E71C56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FootnoteReference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FootnoteReference"/>
          <w:rFonts w:eastAsia="Times New Roman" w:cs="Times New Roman"/>
        </w:rPr>
        <w:footnoteReference w:id="73"/>
      </w:r>
      <w:r w:rsidRPr="00DD0783">
        <w:t>.</w:t>
      </w:r>
    </w:p>
    <w:p w:rsidR="00A23F3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FootnoteReference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:rsidR="009828BB" w:rsidRPr="00DD0783" w:rsidRDefault="009828BB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FootnoteReference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:rsidR="00A23F33" w:rsidRPr="00DD0783" w:rsidRDefault="00A23F33" w:rsidP="00E71C56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DD0783" w:rsidRDefault="00243F87" w:rsidP="00E71C56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FootnoteReference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:rsidR="00EA19D0" w:rsidRPr="00025329" w:rsidRDefault="00A23F33" w:rsidP="00E71C56">
      <w:pPr>
        <w:pStyle w:val="ListParagraph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:rsidR="00025329" w:rsidRDefault="00025329" w:rsidP="00025329">
      <w:pPr>
        <w:pStyle w:val="ListParagraph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:rsidR="00025329" w:rsidRPr="00025329" w:rsidRDefault="00025329" w:rsidP="00F67081">
      <w:pPr>
        <w:pStyle w:val="ListParagraph"/>
        <w:tabs>
          <w:tab w:val="left" w:pos="5330"/>
        </w:tabs>
        <w:spacing w:line="240" w:lineRule="auto"/>
        <w:jc w:val="both"/>
        <w:rPr>
          <w:b/>
        </w:rPr>
      </w:pPr>
    </w:p>
    <w:p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lastRenderedPageBreak/>
        <w:t xml:space="preserve">4. </w:t>
      </w:r>
      <w:r w:rsidRPr="00A82785">
        <w:rPr>
          <w:b/>
        </w:rPr>
        <w:t>UPROSZCZONE METODY ROZLICZANIA WYDATKÓW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:rsidR="00526548" w:rsidRPr="007C5B38" w:rsidRDefault="00526548" w:rsidP="0052654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:rsidR="00526548" w:rsidRPr="007C5B3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:rsidR="00526548" w:rsidRDefault="00526548" w:rsidP="003A6B1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:rsidR="00526548" w:rsidRDefault="00526548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:rsidR="001D03FF" w:rsidRDefault="001D03FF" w:rsidP="001D03F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:rsidR="00526548" w:rsidRPr="007C5B3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:rsidR="00526548" w:rsidRDefault="00526548" w:rsidP="001D03F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Default="00843D11" w:rsidP="00843D11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:rsidR="00843D11" w:rsidRPr="007C5B38" w:rsidRDefault="00843D11" w:rsidP="009074A5">
      <w:pPr>
        <w:pStyle w:val="ListParagraph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lastRenderedPageBreak/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2E341E" w:rsidRPr="002D3C6C" w:rsidRDefault="002E341E" w:rsidP="002E341E">
      <w:pPr>
        <w:pStyle w:val="EndnoteText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843D11" w:rsidTr="00843D11">
        <w:tc>
          <w:tcPr>
            <w:tcW w:w="9062" w:type="dxa"/>
          </w:tcPr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:rsidR="00843D11" w:rsidRDefault="00843D11" w:rsidP="00843D1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/>
            </w:tblPr>
            <w:tblGrid>
              <w:gridCol w:w="4433"/>
              <w:gridCol w:w="4403"/>
            </w:tblGrid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CommentReference"/>
              </w:rPr>
            </w:pPr>
          </w:p>
        </w:tc>
      </w:tr>
    </w:tbl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CommentReference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068" w:rsidRDefault="00141068" w:rsidP="00BA376B">
      <w:pPr>
        <w:spacing w:after="0" w:line="240" w:lineRule="auto"/>
      </w:pPr>
      <w:r>
        <w:separator/>
      </w:r>
    </w:p>
  </w:endnote>
  <w:endnote w:type="continuationSeparator" w:id="0">
    <w:p w:rsidR="00141068" w:rsidRDefault="00141068" w:rsidP="00BA376B">
      <w:pPr>
        <w:spacing w:after="0" w:line="240" w:lineRule="auto"/>
      </w:pPr>
      <w:r>
        <w:continuationSeparator/>
      </w:r>
    </w:p>
  </w:endnote>
  <w:endnote w:type="continuationNotice" w:id="1">
    <w:p w:rsidR="00141068" w:rsidRDefault="00141068">
      <w:pPr>
        <w:spacing w:after="0" w:line="240" w:lineRule="auto"/>
      </w:pPr>
    </w:p>
  </w:endnote>
  <w:endnote w:id="2">
    <w:p w:rsidR="00DB4F2F" w:rsidRPr="002D3C6C" w:rsidRDefault="00DB4F2F" w:rsidP="00C5419D">
      <w:pPr>
        <w:pStyle w:val="EndnoteText"/>
        <w:jc w:val="both"/>
        <w:rPr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1732661"/>
      <w:docPartObj>
        <w:docPartGallery w:val="Page Numbers (Bottom of Page)"/>
        <w:docPartUnique/>
      </w:docPartObj>
    </w:sdtPr>
    <w:sdtContent>
      <w:p w:rsidR="00DB4F2F" w:rsidRDefault="00C62A5C">
        <w:pPr>
          <w:pStyle w:val="Footer"/>
          <w:jc w:val="right"/>
        </w:pPr>
        <w:r>
          <w:fldChar w:fldCharType="begin"/>
        </w:r>
        <w:r w:rsidR="00DB4F2F">
          <w:instrText xml:space="preserve"> PAGE   \* MERGEFORMAT </w:instrText>
        </w:r>
        <w:r>
          <w:fldChar w:fldCharType="separate"/>
        </w:r>
        <w:r w:rsidR="00F6595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DB4F2F" w:rsidRDefault="00DB4F2F" w:rsidP="00DC4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068" w:rsidRDefault="00141068" w:rsidP="00BA376B">
      <w:pPr>
        <w:spacing w:after="0" w:line="240" w:lineRule="auto"/>
      </w:pPr>
      <w:r>
        <w:separator/>
      </w:r>
    </w:p>
  </w:footnote>
  <w:footnote w:type="continuationSeparator" w:id="0">
    <w:p w:rsidR="00141068" w:rsidRDefault="00141068" w:rsidP="00BA376B">
      <w:pPr>
        <w:spacing w:after="0" w:line="240" w:lineRule="auto"/>
      </w:pPr>
      <w:r>
        <w:continuationSeparator/>
      </w:r>
    </w:p>
  </w:footnote>
  <w:footnote w:type="continuationNotice" w:id="1">
    <w:p w:rsidR="00141068" w:rsidRDefault="00141068">
      <w:pPr>
        <w:spacing w:after="0" w:line="240" w:lineRule="auto"/>
      </w:pPr>
    </w:p>
  </w:footnote>
  <w:footnote w:id="2">
    <w:p w:rsidR="00DB4F2F" w:rsidRPr="00013AFB" w:rsidRDefault="00DB4F2F" w:rsidP="00B2110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:rsidR="00DB4F2F" w:rsidRDefault="00DB4F2F" w:rsidP="009E58A1">
      <w:pPr>
        <w:pStyle w:val="FootnoteText"/>
        <w:jc w:val="both"/>
      </w:pPr>
      <w:r w:rsidRPr="00C40B9D">
        <w:rPr>
          <w:rStyle w:val="FootnoteReference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4">
    <w:p w:rsidR="00DB4F2F" w:rsidRPr="00013AFB" w:rsidRDefault="00DB4F2F" w:rsidP="007F246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Termin umowa oznacza również inne dokumenty będące podstawą dofinansowania projektu, np. uchwałę czy porozumienie.</w:t>
      </w:r>
    </w:p>
    <w:p w:rsidR="00DB4F2F" w:rsidRPr="00013AFB" w:rsidRDefault="00DB4F2F" w:rsidP="00013AFB">
      <w:pPr>
        <w:pStyle w:val="FootnoteText"/>
        <w:jc w:val="both"/>
        <w:rPr>
          <w:b/>
        </w:rPr>
      </w:pPr>
    </w:p>
  </w:footnote>
  <w:footnote w:id="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6">
    <w:p w:rsidR="00DB4F2F" w:rsidRPr="00013AFB" w:rsidRDefault="00DB4F2F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do dnia 26.10.2016 r. Dla pozostałych konkursów – zapis nieobowiązujący.</w:t>
      </w:r>
    </w:p>
    <w:p w:rsidR="00DB4F2F" w:rsidRPr="00013AFB" w:rsidRDefault="00DB4F2F">
      <w:pPr>
        <w:pStyle w:val="FootnoteText"/>
      </w:pPr>
    </w:p>
  </w:footnote>
  <w:footnote w:id="7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:rsidR="00DB4F2F" w:rsidRPr="00013AFB" w:rsidRDefault="00DB4F2F" w:rsidP="009F303C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Dla konkursów ogłoszonych przed 29.06.2016 r. – dotyczy odpowiednio 1.4 C i 1.4 D.</w:t>
      </w:r>
    </w:p>
  </w:footnote>
  <w:footnote w:id="9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:rsidR="00DB4F2F" w:rsidRDefault="00DB4F2F" w:rsidP="00A476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:rsidR="00DB4F2F" w:rsidRPr="00013AFB" w:rsidRDefault="00DB4F2F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26.09.2016 r. do dnia 20.11.2016 r. Dla pozostałych konkursów – zapis nieobowiązujący.</w:t>
      </w:r>
    </w:p>
  </w:footnote>
  <w:footnote w:id="12">
    <w:p w:rsidR="00DB4F2F" w:rsidRPr="00013AFB" w:rsidRDefault="00DB4F2F" w:rsidP="007A2810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naborów do działania 1.1 ogłaszanych od października 2019 r. </w:t>
      </w:r>
    </w:p>
  </w:footnote>
  <w:footnote w:id="14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przed 16.01.2017 r. Dla konkursów ogłaszanych od dnia 16.01.2017 r. – zapis nieobowiązujący.</w:t>
      </w:r>
    </w:p>
  </w:footnote>
  <w:footnote w:id="15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 xml:space="preserve">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6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:rsidR="00DB4F2F" w:rsidRPr="002E11F5" w:rsidRDefault="00DB4F2F" w:rsidP="007A2810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20">
    <w:p w:rsidR="00DB4F2F" w:rsidRPr="00013AFB" w:rsidRDefault="00DB4F2F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1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:rsidR="00DB4F2F" w:rsidRPr="002E11F5" w:rsidRDefault="00DB4F2F" w:rsidP="00013AFB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:rsidR="00DB4F2F" w:rsidRPr="00013AFB" w:rsidRDefault="00DB4F2F" w:rsidP="00013AFB">
      <w:pPr>
        <w:pStyle w:val="FootnoteText"/>
        <w:jc w:val="both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5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28.12.2015 r. Dla konkursów ogłaszanych przed 28.12.2015 r. – zapis nieobowiązujący.</w:t>
      </w:r>
    </w:p>
  </w:footnote>
  <w:footnote w:id="27">
    <w:p w:rsidR="00DB4F2F" w:rsidRPr="00013AFB" w:rsidRDefault="00DB4F2F" w:rsidP="00B46B35">
      <w:pPr>
        <w:pStyle w:val="FootnoteText"/>
        <w:jc w:val="both"/>
      </w:pPr>
      <w:r w:rsidRPr="002F4911">
        <w:rPr>
          <w:rStyle w:val="FootnoteReference"/>
        </w:rPr>
        <w:footnoteRef/>
      </w:r>
      <w:r w:rsidRPr="002F4911">
        <w:t xml:space="preserve"> </w:t>
      </w:r>
      <w:r w:rsidRPr="002F4911">
        <w:t>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:rsidR="00DB4F2F" w:rsidRPr="00013AFB" w:rsidRDefault="00DB4F2F">
      <w:pPr>
        <w:pStyle w:val="FootnoteText"/>
      </w:pPr>
      <w:r w:rsidRPr="002E11F5">
        <w:rPr>
          <w:rStyle w:val="FootnoteReference"/>
        </w:rPr>
        <w:footnoteRef/>
      </w:r>
      <w:r w:rsidRPr="002E11F5"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29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0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1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 w:rsidR="003730EB">
        <w:rPr>
          <w:rFonts w:eastAsia="Times New Roman" w:cs="Times New Roman"/>
        </w:rPr>
        <w:t xml:space="preserve"> oraz konkursu ogłoszonego w dniu 22 września 2020 r.</w:t>
      </w:r>
    </w:p>
  </w:footnote>
  <w:footnote w:id="32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3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25.01.2016 r. Dla konkursów ogłaszanych od dnia 25.01.2016 r. – zapis nieobowiązujący. </w:t>
      </w:r>
    </w:p>
  </w:footnote>
  <w:footnote w:id="34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35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6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27.07.2016 r. Dla konkursów ogłaszanych przed 27.07.2016 r. – zapis nieobowiązujący.</w:t>
      </w:r>
    </w:p>
  </w:footnote>
  <w:footnote w:id="37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> </w:t>
      </w:r>
      <w:r w:rsidRPr="00013AFB">
        <w:t>Dotyczy konkursów ogłaszanych od dnia 28.12.2015 r. Dla konkursów ogłaszanych przed 28.12.2015 r. – zapis nieobowiązujący.</w:t>
      </w:r>
    </w:p>
  </w:footnote>
  <w:footnote w:id="38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39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:rsidR="00DB4F2F" w:rsidRDefault="00DB4F2F" w:rsidP="00E0122E">
      <w:pPr>
        <w:pStyle w:val="FootnoteText"/>
        <w:tabs>
          <w:tab w:val="left" w:pos="5490"/>
        </w:tabs>
      </w:pPr>
      <w:r>
        <w:rPr>
          <w:rStyle w:val="FootnoteReference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:rsidR="00DB4F2F" w:rsidRPr="00013AFB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przed 23.05.2016 r. Dla konkursów ogłaszanych od dnia 23.05.2016 r. – zapis nieobowiązujący.</w:t>
      </w:r>
    </w:p>
  </w:footnote>
  <w:footnote w:id="42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25.07.2018 r.</w:t>
      </w:r>
    </w:p>
  </w:footnote>
  <w:footnote w:id="43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Nie dotyczy typu 3.3 d </w:t>
      </w:r>
      <w:r>
        <w:rPr>
          <w:rFonts w:cs="Arial"/>
        </w:rPr>
        <w:t>Wsparcie za pomocą instrumentów finansowych</w:t>
      </w:r>
    </w:p>
  </w:footnote>
  <w:footnote w:id="44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30.10.2019 r.</w:t>
      </w:r>
    </w:p>
  </w:footnote>
  <w:footnote w:id="4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Dotyczy konkursów ogłaszanych od dnia 30.10.2019 r.</w:t>
      </w:r>
    </w:p>
  </w:footnote>
  <w:footnote w:id="4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:rsidR="00DB4F2F" w:rsidRPr="00BF181E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:rsidR="00DB4F2F" w:rsidRPr="00013AFB" w:rsidRDefault="00DB4F2F">
      <w:pPr>
        <w:pStyle w:val="FootnoteText"/>
      </w:pPr>
      <w:r w:rsidRPr="00BF181E">
        <w:rPr>
          <w:rStyle w:val="FootnoteReference"/>
        </w:rPr>
        <w:footnoteRef/>
      </w:r>
      <w:r w:rsidRPr="00BF181E">
        <w:t xml:space="preserve"> </w:t>
      </w:r>
      <w:r w:rsidRPr="00BF181E">
        <w:t>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0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1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 rozumieniu rozporządzenia Ministra Transportu i Gospodarki Morskiej z dn. 2 marca 1999 r. w sprawie warunków technicznych, jakim powinny odpowiadać drogi publiczne i ich usytuowanie.</w:t>
      </w:r>
    </w:p>
  </w:footnote>
  <w:footnote w:id="52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16.01.2017 r. Dla konkursów ogłaszanych przed 16.01.2017 r. – zapis nieobowiązujący.</w:t>
      </w:r>
    </w:p>
  </w:footnote>
  <w:footnote w:id="55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7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8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Dotyczy konkursów ogłaszanych od dnia 26.08.2016 r. Dla konkursów ogłaszanych przed 26.08.2016 r. – zapis nieobowiązujący.</w:t>
      </w:r>
    </w:p>
  </w:footnote>
  <w:footnote w:id="59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:rsidR="00DB4F2F" w:rsidRPr="00042236" w:rsidRDefault="00DB4F2F" w:rsidP="00042236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:rsidR="00DB4F2F" w:rsidRPr="00042236" w:rsidRDefault="00DB4F2F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26.09.2016 r. Dla konkursów ogłaszanych przed 26.09.2016 r. – zapis nieobowiązujący</w:t>
      </w:r>
    </w:p>
  </w:footnote>
  <w:footnote w:id="63">
    <w:p w:rsidR="00DB4F2F" w:rsidRPr="00042236" w:rsidRDefault="00DB4F2F" w:rsidP="00F2036F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:rsidR="00DB4F2F" w:rsidRPr="00042236" w:rsidRDefault="00DB4F2F" w:rsidP="00835141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:rsidR="00DB4F2F" w:rsidRPr="00042236" w:rsidRDefault="00DB4F2F" w:rsidP="00A23F33">
      <w:pPr>
        <w:pStyle w:val="FootnoteText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Za wyjątkiem zakupu placu zabaw</w:t>
      </w:r>
      <w:r>
        <w:t>.</w:t>
      </w:r>
    </w:p>
  </w:footnote>
  <w:footnote w:id="68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:rsidR="00DB4F2F" w:rsidRPr="00042236" w:rsidRDefault="00DB4F2F" w:rsidP="00A23F33">
      <w:pPr>
        <w:pStyle w:val="FootnoteText"/>
        <w:jc w:val="both"/>
      </w:pPr>
      <w:r w:rsidRPr="00042236">
        <w:rPr>
          <w:rStyle w:val="FootnoteReference"/>
        </w:rPr>
        <w:footnoteRef/>
      </w:r>
      <w:r w:rsidRPr="00042236">
        <w:t xml:space="preserve"> </w:t>
      </w:r>
      <w:r w:rsidRPr="00042236">
        <w:t>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:rsidR="00DB4F2F" w:rsidRPr="00013AFB" w:rsidRDefault="00DB4F2F" w:rsidP="00A23F33">
      <w:pPr>
        <w:pStyle w:val="FootnoteText"/>
        <w:jc w:val="both"/>
      </w:pPr>
      <w:r w:rsidRPr="00042236">
        <w:rPr>
          <w:rStyle w:val="FootnoteReference"/>
          <w:color w:val="000000" w:themeColor="text1"/>
        </w:rPr>
        <w:footnoteRef/>
      </w:r>
      <w:r w:rsidRPr="00042236">
        <w:rPr>
          <w:color w:val="000000" w:themeColor="text1"/>
        </w:rPr>
        <w:t xml:space="preserve"> </w:t>
      </w:r>
      <w:r w:rsidRPr="00042236">
        <w:rPr>
          <w:color w:val="000000" w:themeColor="text1"/>
        </w:rPr>
        <w:t xml:space="preserve">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:rsidR="00DB4F2F" w:rsidRDefault="00DB4F2F" w:rsidP="00A736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:rsidR="00DB4F2F" w:rsidRPr="00013AFB" w:rsidRDefault="00DB4F2F" w:rsidP="00A23F33">
      <w:pPr>
        <w:pStyle w:val="FootnoteText"/>
        <w:jc w:val="both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>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:rsidR="00DB4F2F" w:rsidRDefault="00DB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:rsidR="00DB4F2F" w:rsidRPr="00013AFB" w:rsidRDefault="00DB4F2F">
      <w:pPr>
        <w:pStyle w:val="FootnoteText"/>
      </w:pPr>
      <w:r w:rsidRPr="00013AFB">
        <w:rPr>
          <w:rStyle w:val="FootnoteReference"/>
        </w:rPr>
        <w:footnoteRef/>
      </w:r>
      <w:r w:rsidRPr="00013AFB">
        <w:t xml:space="preserve"> </w:t>
      </w:r>
      <w:r w:rsidRPr="00013AFB">
        <w:t xml:space="preserve">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2F" w:rsidRDefault="00DB4F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4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4"/>
  </w:num>
  <w:num w:numId="5">
    <w:abstractNumId w:val="1"/>
  </w:num>
  <w:num w:numId="6">
    <w:abstractNumId w:val="17"/>
  </w:num>
  <w:num w:numId="7">
    <w:abstractNumId w:val="0"/>
  </w:num>
  <w:num w:numId="8">
    <w:abstractNumId w:val="11"/>
  </w:num>
  <w:num w:numId="9">
    <w:abstractNumId w:val="38"/>
  </w:num>
  <w:num w:numId="10">
    <w:abstractNumId w:val="26"/>
  </w:num>
  <w:num w:numId="11">
    <w:abstractNumId w:val="19"/>
  </w:num>
  <w:num w:numId="12">
    <w:abstractNumId w:val="18"/>
  </w:num>
  <w:num w:numId="13">
    <w:abstractNumId w:val="36"/>
  </w:num>
  <w:num w:numId="14">
    <w:abstractNumId w:val="9"/>
  </w:num>
  <w:num w:numId="15">
    <w:abstractNumId w:val="30"/>
  </w:num>
  <w:num w:numId="16">
    <w:abstractNumId w:val="34"/>
  </w:num>
  <w:num w:numId="17">
    <w:abstractNumId w:val="32"/>
  </w:num>
  <w:num w:numId="18">
    <w:abstractNumId w:val="37"/>
  </w:num>
  <w:num w:numId="19">
    <w:abstractNumId w:val="24"/>
  </w:num>
  <w:num w:numId="20">
    <w:abstractNumId w:val="15"/>
  </w:num>
  <w:num w:numId="21">
    <w:abstractNumId w:val="7"/>
  </w:num>
  <w:num w:numId="22">
    <w:abstractNumId w:val="2"/>
  </w:num>
  <w:num w:numId="23">
    <w:abstractNumId w:val="29"/>
  </w:num>
  <w:num w:numId="24">
    <w:abstractNumId w:val="35"/>
  </w:num>
  <w:num w:numId="25">
    <w:abstractNumId w:val="8"/>
  </w:num>
  <w:num w:numId="26">
    <w:abstractNumId w:val="33"/>
  </w:num>
  <w:num w:numId="27">
    <w:abstractNumId w:val="16"/>
  </w:num>
  <w:num w:numId="28">
    <w:abstractNumId w:val="20"/>
  </w:num>
  <w:num w:numId="29">
    <w:abstractNumId w:val="41"/>
  </w:num>
  <w:num w:numId="30">
    <w:abstractNumId w:val="40"/>
  </w:num>
  <w:num w:numId="31">
    <w:abstractNumId w:val="0"/>
  </w:num>
  <w:num w:numId="32">
    <w:abstractNumId w:val="10"/>
  </w:num>
  <w:num w:numId="33">
    <w:abstractNumId w:val="27"/>
  </w:num>
  <w:num w:numId="34">
    <w:abstractNumId w:val="6"/>
  </w:num>
  <w:num w:numId="35">
    <w:abstractNumId w:val="31"/>
  </w:num>
  <w:num w:numId="36">
    <w:abstractNumId w:val="42"/>
  </w:num>
  <w:num w:numId="37">
    <w:abstractNumId w:val="21"/>
  </w:num>
  <w:num w:numId="38">
    <w:abstractNumId w:val="28"/>
  </w:num>
  <w:num w:numId="39">
    <w:abstractNumId w:val="23"/>
  </w:num>
  <w:num w:numId="40">
    <w:abstractNumId w:val="39"/>
  </w:num>
  <w:num w:numId="41">
    <w:abstractNumId w:val="22"/>
  </w:num>
  <w:num w:numId="42">
    <w:abstractNumId w:val="25"/>
  </w:num>
  <w:num w:numId="43">
    <w:abstractNumId w:val="3"/>
  </w:num>
  <w:num w:numId="44">
    <w:abstractNumId w:val="1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D89"/>
    <w:rsid w:val="00134C78"/>
    <w:rsid w:val="001360A7"/>
    <w:rsid w:val="00141068"/>
    <w:rsid w:val="00144BB9"/>
    <w:rsid w:val="00145381"/>
    <w:rsid w:val="00146477"/>
    <w:rsid w:val="00161A28"/>
    <w:rsid w:val="001639F2"/>
    <w:rsid w:val="00165F60"/>
    <w:rsid w:val="00166557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55DC"/>
    <w:rsid w:val="002A1E9F"/>
    <w:rsid w:val="002A3B5A"/>
    <w:rsid w:val="002A5D3C"/>
    <w:rsid w:val="002B102C"/>
    <w:rsid w:val="002B4DBE"/>
    <w:rsid w:val="002B7AA0"/>
    <w:rsid w:val="002C2D96"/>
    <w:rsid w:val="002C3185"/>
    <w:rsid w:val="002C50D4"/>
    <w:rsid w:val="002C5B11"/>
    <w:rsid w:val="002C7271"/>
    <w:rsid w:val="002D017D"/>
    <w:rsid w:val="002D3C6C"/>
    <w:rsid w:val="002D597F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1815"/>
    <w:rsid w:val="0043438C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7A9A"/>
    <w:rsid w:val="004721FD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D2944"/>
    <w:rsid w:val="004D36A9"/>
    <w:rsid w:val="004D6239"/>
    <w:rsid w:val="004D633F"/>
    <w:rsid w:val="004E2152"/>
    <w:rsid w:val="004E3624"/>
    <w:rsid w:val="004E4F5F"/>
    <w:rsid w:val="004E5DB2"/>
    <w:rsid w:val="004F01DC"/>
    <w:rsid w:val="004F19B4"/>
    <w:rsid w:val="00503959"/>
    <w:rsid w:val="005100D3"/>
    <w:rsid w:val="00513F17"/>
    <w:rsid w:val="00513FA5"/>
    <w:rsid w:val="0051513D"/>
    <w:rsid w:val="0051723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80E60"/>
    <w:rsid w:val="00886349"/>
    <w:rsid w:val="00886E70"/>
    <w:rsid w:val="008930E6"/>
    <w:rsid w:val="00894767"/>
    <w:rsid w:val="0089612D"/>
    <w:rsid w:val="00897BAD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738"/>
    <w:rsid w:val="0097611D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05D0B"/>
    <w:rsid w:val="00B121F8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63B1"/>
    <w:rsid w:val="00B63C7D"/>
    <w:rsid w:val="00B64C19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22A1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62A5C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E31DE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7423"/>
    <w:rsid w:val="00D57C7F"/>
    <w:rsid w:val="00D57F01"/>
    <w:rsid w:val="00D60F14"/>
    <w:rsid w:val="00D64DF9"/>
    <w:rsid w:val="00D71A33"/>
    <w:rsid w:val="00D82006"/>
    <w:rsid w:val="00D82864"/>
    <w:rsid w:val="00D82B9D"/>
    <w:rsid w:val="00D84095"/>
    <w:rsid w:val="00D908D7"/>
    <w:rsid w:val="00D9091B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C2BAC"/>
    <w:rsid w:val="00EC3A76"/>
    <w:rsid w:val="00EC68AE"/>
    <w:rsid w:val="00ED3D80"/>
    <w:rsid w:val="00ED4A1C"/>
    <w:rsid w:val="00ED53F6"/>
    <w:rsid w:val="00ED70DA"/>
    <w:rsid w:val="00ED7D28"/>
    <w:rsid w:val="00EE0968"/>
    <w:rsid w:val="00EE25F0"/>
    <w:rsid w:val="00EE2FD1"/>
    <w:rsid w:val="00EE3248"/>
    <w:rsid w:val="00EE4FE6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5950"/>
    <w:rsid w:val="00F67081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45B1"/>
    <w:rsid w:val="00F965DA"/>
    <w:rsid w:val="00F96969"/>
    <w:rsid w:val="00FA2DCA"/>
    <w:rsid w:val="00FA3C79"/>
    <w:rsid w:val="00FA65C9"/>
    <w:rsid w:val="00FA6BCC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E26"/>
    <w:rsid w:val="00FF172A"/>
    <w:rsid w:val="00FF4158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5C"/>
  </w:style>
  <w:style w:type="paragraph" w:styleId="Heading1">
    <w:name w:val="heading 1"/>
    <w:basedOn w:val="Normal"/>
    <w:next w:val="Normal"/>
    <w:link w:val="Heading1Char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37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76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C1"/>
  </w:style>
  <w:style w:type="paragraph" w:styleId="Footer">
    <w:name w:val="footer"/>
    <w:basedOn w:val="Normal"/>
    <w:link w:val="FooterChar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C1"/>
  </w:style>
  <w:style w:type="paragraph" w:styleId="ListParagraph">
    <w:name w:val="List Paragraph"/>
    <w:basedOn w:val="Normal"/>
    <w:link w:val="ListParagraphChar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82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64"/>
    <w:rPr>
      <w:b/>
      <w:bCs/>
      <w:sz w:val="20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"/>
    <w:link w:val="FootnoteTextChar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rsid w:val="00420900"/>
    <w:rPr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42090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istParagraphChar">
    <w:name w:val="List Paragraph Char"/>
    <w:link w:val="ListParagraph"/>
    <w:uiPriority w:val="34"/>
    <w:rsid w:val="00A23F33"/>
  </w:style>
  <w:style w:type="paragraph" w:styleId="PlainText">
    <w:name w:val="Plain Text"/>
    <w:basedOn w:val="Normal"/>
    <w:link w:val="PlainTextChar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Heading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5F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5F4B"/>
    <w:rPr>
      <w:vertAlign w:val="superscript"/>
    </w:rPr>
  </w:style>
  <w:style w:type="table" w:styleId="TableGrid">
    <w:name w:val="Table Grid"/>
    <w:basedOn w:val="TableNormal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TableNormal"/>
    <w:next w:val="TableGrid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0A7F5D"/>
  </w:style>
  <w:style w:type="paragraph" w:customStyle="1" w:styleId="CM1">
    <w:name w:val="CM1"/>
    <w:basedOn w:val="Normal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5F15E-92D1-4120-951F-C7CBDEA4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9890</Words>
  <Characters>59340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Zach Ar</cp:lastModifiedBy>
  <cp:revision>2</cp:revision>
  <cp:lastPrinted>2020-03-13T08:23:00Z</cp:lastPrinted>
  <dcterms:created xsi:type="dcterms:W3CDTF">2020-12-30T20:10:00Z</dcterms:created>
  <dcterms:modified xsi:type="dcterms:W3CDTF">2020-12-30T20:10:00Z</dcterms:modified>
</cp:coreProperties>
</file>