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A65" w:rsidRDefault="00707A65" w:rsidP="00707A65">
      <w:pPr>
        <w:pStyle w:val="Header"/>
        <w:rPr>
          <w:b/>
          <w:sz w:val="20"/>
        </w:rPr>
      </w:pPr>
      <w:bookmarkStart w:id="0" w:name="_Hlk39673231"/>
      <w:bookmarkStart w:id="1" w:name="_Hlk39673278"/>
    </w:p>
    <w:p w:rsidR="00707A65" w:rsidRDefault="00707A65" w:rsidP="00707A65">
      <w:pPr>
        <w:pStyle w:val="Header"/>
        <w:rPr>
          <w:b/>
          <w:sz w:val="20"/>
        </w:rPr>
      </w:pPr>
    </w:p>
    <w:p w:rsidR="00707A65" w:rsidRPr="00707A65" w:rsidRDefault="00707A65" w:rsidP="00707A65">
      <w:pPr>
        <w:pStyle w:val="Header"/>
        <w:rPr>
          <w:b/>
          <w:sz w:val="20"/>
        </w:rPr>
      </w:pPr>
      <w:r w:rsidRPr="00707A65">
        <w:rPr>
          <w:b/>
          <w:sz w:val="20"/>
        </w:rPr>
        <w:t>Załącznik  nr 2 do instrukcji wypełniania wniosku o dofinansowanie RPDS.03.01.00-IP.01-02-388/20</w:t>
      </w:r>
    </w:p>
    <w:p w:rsidR="00707A65" w:rsidRDefault="00707A65" w:rsidP="00F303F8">
      <w:pPr>
        <w:spacing w:after="0" w:line="240" w:lineRule="auto"/>
        <w:jc w:val="both"/>
        <w:rPr>
          <w:rFonts w:cstheme="minorHAnsi"/>
          <w:b/>
          <w:sz w:val="20"/>
          <w:szCs w:val="20"/>
        </w:rPr>
      </w:pPr>
    </w:p>
    <w:p w:rsidR="00707A65" w:rsidRDefault="00707A65" w:rsidP="00F303F8">
      <w:pPr>
        <w:spacing w:after="0" w:line="240" w:lineRule="auto"/>
        <w:jc w:val="both"/>
        <w:rPr>
          <w:rFonts w:cstheme="minorHAnsi"/>
          <w:b/>
          <w:sz w:val="20"/>
          <w:szCs w:val="20"/>
        </w:rPr>
      </w:pPr>
    </w:p>
    <w:p w:rsidR="00DF4CA4" w:rsidRPr="00362B64" w:rsidRDefault="0033596A" w:rsidP="00F303F8">
      <w:pPr>
        <w:spacing w:after="0" w:line="240" w:lineRule="auto"/>
        <w:jc w:val="both"/>
        <w:rPr>
          <w:rFonts w:cstheme="minorHAnsi"/>
          <w:b/>
          <w:sz w:val="20"/>
          <w:szCs w:val="20"/>
        </w:rPr>
      </w:pPr>
      <w:r>
        <w:rPr>
          <w:rFonts w:cstheme="minorHAnsi"/>
          <w:b/>
          <w:sz w:val="20"/>
          <w:szCs w:val="20"/>
        </w:rPr>
        <w:t>P</w:t>
      </w:r>
      <w:r w:rsidR="00D504B0" w:rsidRPr="00362B64">
        <w:rPr>
          <w:rFonts w:cstheme="minorHAnsi"/>
          <w:b/>
          <w:sz w:val="20"/>
          <w:szCs w:val="20"/>
        </w:rPr>
        <w:t xml:space="preserve">oradnik wypełniania pliku </w:t>
      </w:r>
      <w:r>
        <w:rPr>
          <w:rFonts w:cstheme="minorHAnsi"/>
          <w:b/>
          <w:sz w:val="20"/>
          <w:szCs w:val="20"/>
        </w:rPr>
        <w:t>–</w:t>
      </w:r>
      <w:r w:rsidR="00D504B0" w:rsidRPr="00362B64">
        <w:rPr>
          <w:rFonts w:cstheme="minorHAnsi"/>
          <w:b/>
          <w:sz w:val="20"/>
          <w:szCs w:val="20"/>
        </w:rPr>
        <w:t xml:space="preserve"> </w:t>
      </w:r>
      <w:r>
        <w:rPr>
          <w:rFonts w:cstheme="minorHAnsi"/>
          <w:b/>
          <w:sz w:val="20"/>
          <w:szCs w:val="20"/>
        </w:rPr>
        <w:t>„</w:t>
      </w:r>
      <w:r w:rsidR="00D504B0" w:rsidRPr="00362B64">
        <w:rPr>
          <w:rFonts w:cstheme="minorHAnsi"/>
          <w:b/>
          <w:sz w:val="20"/>
          <w:szCs w:val="20"/>
        </w:rPr>
        <w:t>Planowane wydatki (P, R, T)</w:t>
      </w:r>
      <w:r>
        <w:rPr>
          <w:rFonts w:cstheme="minorHAnsi"/>
          <w:b/>
          <w:sz w:val="20"/>
          <w:szCs w:val="20"/>
        </w:rPr>
        <w:t>” – xlsm,</w:t>
      </w:r>
      <w:r w:rsidR="008C504B" w:rsidRPr="008C504B">
        <w:rPr>
          <w:rFonts w:cstheme="minorHAnsi"/>
          <w:b/>
          <w:sz w:val="20"/>
          <w:szCs w:val="20"/>
        </w:rPr>
        <w:t xml:space="preserve"> </w:t>
      </w:r>
      <w:r w:rsidR="008C504B">
        <w:rPr>
          <w:rFonts w:cstheme="minorHAnsi"/>
          <w:b/>
          <w:sz w:val="20"/>
          <w:szCs w:val="20"/>
        </w:rPr>
        <w:t xml:space="preserve">Działania </w:t>
      </w:r>
      <w:r w:rsidR="008C504B" w:rsidRPr="00362B64">
        <w:rPr>
          <w:rFonts w:cstheme="minorHAnsi"/>
          <w:b/>
          <w:sz w:val="20"/>
          <w:szCs w:val="20"/>
        </w:rPr>
        <w:t xml:space="preserve">3.1A </w:t>
      </w:r>
    </w:p>
    <w:bookmarkEnd w:id="0"/>
    <w:p w:rsidR="00D504B0" w:rsidRPr="00FF3F3E" w:rsidRDefault="00D504B0" w:rsidP="00F303F8">
      <w:pPr>
        <w:spacing w:after="0" w:line="240" w:lineRule="auto"/>
        <w:jc w:val="both"/>
        <w:rPr>
          <w:rFonts w:cstheme="minorHAnsi"/>
          <w:sz w:val="20"/>
          <w:szCs w:val="20"/>
        </w:rPr>
      </w:pPr>
    </w:p>
    <w:p w:rsidR="00F303F8" w:rsidRPr="00FF3F3E" w:rsidRDefault="00F303F8" w:rsidP="00F303F8">
      <w:pPr>
        <w:spacing w:after="0" w:line="240" w:lineRule="auto"/>
        <w:jc w:val="both"/>
        <w:rPr>
          <w:rFonts w:cstheme="minorHAnsi"/>
          <w:sz w:val="20"/>
          <w:szCs w:val="20"/>
        </w:rPr>
      </w:pPr>
      <w:r w:rsidRPr="00FF3F3E">
        <w:rPr>
          <w:rFonts w:cstheme="minorHAnsi"/>
          <w:sz w:val="20"/>
          <w:szCs w:val="20"/>
        </w:rPr>
        <w:t>W pliku występują następujące zakładki:</w:t>
      </w:r>
    </w:p>
    <w:p w:rsidR="00F303F8" w:rsidRPr="00FF3F3E" w:rsidRDefault="00F303F8" w:rsidP="00F303F8">
      <w:pPr>
        <w:spacing w:after="0" w:line="240" w:lineRule="auto"/>
        <w:ind w:left="1418"/>
        <w:jc w:val="both"/>
        <w:rPr>
          <w:rFonts w:cstheme="minorHAnsi"/>
          <w:sz w:val="20"/>
          <w:szCs w:val="20"/>
        </w:rPr>
      </w:pPr>
      <w:r w:rsidRPr="00FF3F3E">
        <w:rPr>
          <w:rFonts w:cstheme="minorHAnsi"/>
          <w:sz w:val="20"/>
          <w:szCs w:val="20"/>
        </w:rPr>
        <w:t>Zysk Operacyjny</w:t>
      </w:r>
    </w:p>
    <w:p w:rsidR="00F303F8" w:rsidRPr="00FF3F3E" w:rsidRDefault="00F303F8" w:rsidP="00F303F8">
      <w:pPr>
        <w:spacing w:after="0" w:line="240" w:lineRule="auto"/>
        <w:ind w:left="1418"/>
        <w:jc w:val="both"/>
        <w:rPr>
          <w:rFonts w:cstheme="minorHAnsi"/>
          <w:sz w:val="20"/>
          <w:szCs w:val="20"/>
        </w:rPr>
      </w:pPr>
      <w:r w:rsidRPr="00FF3F3E">
        <w:rPr>
          <w:rFonts w:cstheme="minorHAnsi"/>
          <w:sz w:val="20"/>
          <w:szCs w:val="20"/>
        </w:rPr>
        <w:t>Podsumowanie</w:t>
      </w:r>
    </w:p>
    <w:p w:rsidR="00F303F8" w:rsidRPr="00FF3F3E" w:rsidRDefault="00F303F8" w:rsidP="00F303F8">
      <w:pPr>
        <w:spacing w:after="0" w:line="240" w:lineRule="auto"/>
        <w:ind w:left="1418"/>
        <w:jc w:val="both"/>
        <w:rPr>
          <w:rFonts w:cstheme="minorHAnsi"/>
          <w:sz w:val="20"/>
          <w:szCs w:val="20"/>
        </w:rPr>
      </w:pPr>
      <w:r w:rsidRPr="00FF3F3E">
        <w:rPr>
          <w:rFonts w:cstheme="minorHAnsi"/>
          <w:sz w:val="20"/>
          <w:szCs w:val="20"/>
        </w:rPr>
        <w:t>Wnioskodawca</w:t>
      </w:r>
    </w:p>
    <w:p w:rsidR="00F303F8" w:rsidRPr="00FF3F3E" w:rsidRDefault="00F303F8" w:rsidP="00F303F8">
      <w:pPr>
        <w:spacing w:after="0" w:line="240" w:lineRule="auto"/>
        <w:ind w:left="1418"/>
        <w:jc w:val="both"/>
        <w:rPr>
          <w:rFonts w:cstheme="minorHAnsi"/>
          <w:sz w:val="20"/>
          <w:szCs w:val="20"/>
        </w:rPr>
      </w:pPr>
      <w:r w:rsidRPr="00FF3F3E">
        <w:rPr>
          <w:rFonts w:cstheme="minorHAnsi"/>
          <w:sz w:val="20"/>
          <w:szCs w:val="20"/>
        </w:rPr>
        <w:t>Partner 1</w:t>
      </w:r>
    </w:p>
    <w:p w:rsidR="00F303F8" w:rsidRPr="00362B64" w:rsidRDefault="00F303F8" w:rsidP="00F303F8">
      <w:pPr>
        <w:spacing w:after="0" w:line="240" w:lineRule="auto"/>
        <w:ind w:left="1418"/>
        <w:jc w:val="both"/>
        <w:rPr>
          <w:rFonts w:cstheme="minorHAnsi"/>
          <w:sz w:val="20"/>
          <w:szCs w:val="20"/>
          <w:lang w:val="en-US"/>
        </w:rPr>
      </w:pPr>
      <w:r w:rsidRPr="00362B64">
        <w:rPr>
          <w:rFonts w:cstheme="minorHAnsi"/>
          <w:sz w:val="20"/>
          <w:szCs w:val="20"/>
          <w:lang w:val="en-US"/>
        </w:rPr>
        <w:t>Partner 2</w:t>
      </w:r>
    </w:p>
    <w:p w:rsidR="00F303F8" w:rsidRPr="00362B64" w:rsidRDefault="00F303F8" w:rsidP="00F303F8">
      <w:pPr>
        <w:spacing w:after="0" w:line="240" w:lineRule="auto"/>
        <w:ind w:left="1418"/>
        <w:jc w:val="both"/>
        <w:rPr>
          <w:rFonts w:cstheme="minorHAnsi"/>
          <w:sz w:val="20"/>
          <w:szCs w:val="20"/>
          <w:lang w:val="en-US"/>
        </w:rPr>
      </w:pPr>
      <w:r w:rsidRPr="00362B64">
        <w:rPr>
          <w:rFonts w:cstheme="minorHAnsi"/>
          <w:sz w:val="20"/>
          <w:szCs w:val="20"/>
          <w:lang w:val="en-US"/>
        </w:rPr>
        <w:t>Partner 3</w:t>
      </w:r>
    </w:p>
    <w:p w:rsidR="00F303F8" w:rsidRPr="00362B64" w:rsidRDefault="00F303F8" w:rsidP="00F303F8">
      <w:pPr>
        <w:spacing w:after="0" w:line="240" w:lineRule="auto"/>
        <w:ind w:left="1418"/>
        <w:jc w:val="both"/>
        <w:rPr>
          <w:rFonts w:cstheme="minorHAnsi"/>
          <w:sz w:val="20"/>
          <w:szCs w:val="20"/>
          <w:lang w:val="en-US"/>
        </w:rPr>
      </w:pPr>
      <w:r w:rsidRPr="00362B64">
        <w:rPr>
          <w:rFonts w:cstheme="minorHAnsi"/>
          <w:sz w:val="20"/>
          <w:szCs w:val="20"/>
          <w:lang w:val="en-US"/>
        </w:rPr>
        <w:t>Partner 4</w:t>
      </w:r>
    </w:p>
    <w:p w:rsidR="00F303F8" w:rsidRPr="00362B64" w:rsidRDefault="00F303F8" w:rsidP="00F303F8">
      <w:pPr>
        <w:spacing w:after="0" w:line="240" w:lineRule="auto"/>
        <w:ind w:left="1418"/>
        <w:jc w:val="both"/>
        <w:rPr>
          <w:rFonts w:cstheme="minorHAnsi"/>
          <w:sz w:val="20"/>
          <w:szCs w:val="20"/>
          <w:lang w:val="en-US"/>
        </w:rPr>
      </w:pPr>
      <w:r w:rsidRPr="00362B64">
        <w:rPr>
          <w:rFonts w:cstheme="minorHAnsi"/>
          <w:sz w:val="20"/>
          <w:szCs w:val="20"/>
          <w:lang w:val="en-US"/>
        </w:rPr>
        <w:t>Partner 5</w:t>
      </w:r>
    </w:p>
    <w:p w:rsidR="00F303F8" w:rsidRPr="00362B64" w:rsidRDefault="00F303F8" w:rsidP="00F303F8">
      <w:pPr>
        <w:spacing w:after="0" w:line="240" w:lineRule="auto"/>
        <w:ind w:left="1418"/>
        <w:jc w:val="both"/>
        <w:rPr>
          <w:rFonts w:cstheme="minorHAnsi"/>
          <w:sz w:val="20"/>
          <w:szCs w:val="20"/>
          <w:lang w:val="en-US"/>
        </w:rPr>
      </w:pPr>
      <w:r w:rsidRPr="00362B64">
        <w:rPr>
          <w:rFonts w:cstheme="minorHAnsi"/>
          <w:sz w:val="20"/>
          <w:szCs w:val="20"/>
          <w:lang w:val="en-US"/>
        </w:rPr>
        <w:t>Partner 6</w:t>
      </w:r>
    </w:p>
    <w:p w:rsidR="00F303F8" w:rsidRPr="00FF3F3E" w:rsidRDefault="00F303F8" w:rsidP="00F303F8">
      <w:pPr>
        <w:spacing w:after="0" w:line="240" w:lineRule="auto"/>
        <w:ind w:left="1418"/>
        <w:jc w:val="both"/>
        <w:rPr>
          <w:rFonts w:cstheme="minorHAnsi"/>
          <w:sz w:val="20"/>
          <w:szCs w:val="20"/>
        </w:rPr>
      </w:pPr>
      <w:r w:rsidRPr="00FF3F3E">
        <w:rPr>
          <w:rFonts w:cstheme="minorHAnsi"/>
          <w:sz w:val="20"/>
          <w:szCs w:val="20"/>
        </w:rPr>
        <w:t>Partner 7</w:t>
      </w:r>
    </w:p>
    <w:p w:rsidR="00F303F8" w:rsidRPr="00FF3F3E" w:rsidRDefault="00F303F8" w:rsidP="00F303F8">
      <w:pPr>
        <w:spacing w:after="0" w:line="240" w:lineRule="auto"/>
        <w:ind w:left="1418"/>
        <w:jc w:val="both"/>
        <w:rPr>
          <w:rFonts w:cstheme="minorHAnsi"/>
          <w:sz w:val="20"/>
          <w:szCs w:val="20"/>
        </w:rPr>
      </w:pPr>
      <w:r w:rsidRPr="00FF3F3E">
        <w:rPr>
          <w:rFonts w:cstheme="minorHAnsi"/>
          <w:sz w:val="20"/>
          <w:szCs w:val="20"/>
        </w:rPr>
        <w:t>Partner 8</w:t>
      </w:r>
    </w:p>
    <w:p w:rsidR="00F303F8" w:rsidRPr="00FF3F3E" w:rsidRDefault="00F303F8" w:rsidP="00F303F8">
      <w:pPr>
        <w:spacing w:after="0" w:line="240" w:lineRule="auto"/>
        <w:ind w:left="1418"/>
        <w:jc w:val="both"/>
        <w:rPr>
          <w:rFonts w:cstheme="minorHAnsi"/>
          <w:sz w:val="20"/>
          <w:szCs w:val="20"/>
        </w:rPr>
      </w:pPr>
      <w:r w:rsidRPr="00FF3F3E">
        <w:rPr>
          <w:rFonts w:cstheme="minorHAnsi"/>
          <w:sz w:val="20"/>
          <w:szCs w:val="20"/>
        </w:rPr>
        <w:t xml:space="preserve">Partner 9 </w:t>
      </w:r>
    </w:p>
    <w:p w:rsidR="00F303F8" w:rsidRPr="00FF3F3E" w:rsidRDefault="00F303F8" w:rsidP="00F303F8">
      <w:pPr>
        <w:spacing w:after="0" w:line="240" w:lineRule="auto"/>
        <w:ind w:left="1418"/>
        <w:jc w:val="both"/>
        <w:rPr>
          <w:rFonts w:cstheme="minorHAnsi"/>
          <w:sz w:val="20"/>
          <w:szCs w:val="20"/>
        </w:rPr>
      </w:pPr>
      <w:r w:rsidRPr="00FF3F3E">
        <w:rPr>
          <w:rFonts w:cstheme="minorHAnsi"/>
          <w:sz w:val="20"/>
          <w:szCs w:val="20"/>
        </w:rPr>
        <w:t>Partner 10</w:t>
      </w:r>
    </w:p>
    <w:p w:rsidR="00F303F8" w:rsidRPr="00FF3F3E" w:rsidRDefault="00F303F8" w:rsidP="00F303F8">
      <w:pPr>
        <w:spacing w:after="0" w:line="240" w:lineRule="auto"/>
        <w:ind w:left="1418"/>
        <w:jc w:val="both"/>
        <w:rPr>
          <w:rFonts w:cstheme="minorHAnsi"/>
          <w:sz w:val="20"/>
          <w:szCs w:val="20"/>
        </w:rPr>
      </w:pPr>
      <w:r w:rsidRPr="00FF3F3E">
        <w:rPr>
          <w:rFonts w:cstheme="minorHAnsi"/>
          <w:sz w:val="20"/>
          <w:szCs w:val="20"/>
        </w:rPr>
        <w:t>T</w:t>
      </w:r>
    </w:p>
    <w:p w:rsidR="00F303F8" w:rsidRPr="00FF3F3E" w:rsidRDefault="00F303F8" w:rsidP="00F303F8">
      <w:pPr>
        <w:spacing w:after="0" w:line="240" w:lineRule="auto"/>
        <w:ind w:left="1418"/>
        <w:jc w:val="both"/>
        <w:rPr>
          <w:rFonts w:cstheme="minorHAnsi"/>
          <w:sz w:val="20"/>
          <w:szCs w:val="20"/>
        </w:rPr>
      </w:pPr>
    </w:p>
    <w:p w:rsidR="00F303F8" w:rsidRPr="00FF3F3E" w:rsidRDefault="00F303F8" w:rsidP="00F303F8">
      <w:pPr>
        <w:spacing w:after="0" w:line="240" w:lineRule="auto"/>
        <w:jc w:val="both"/>
        <w:rPr>
          <w:rFonts w:cstheme="minorHAnsi"/>
          <w:sz w:val="20"/>
          <w:szCs w:val="20"/>
        </w:rPr>
      </w:pPr>
      <w:r w:rsidRPr="00FF3F3E">
        <w:rPr>
          <w:rFonts w:cstheme="minorHAnsi"/>
          <w:sz w:val="20"/>
          <w:szCs w:val="20"/>
        </w:rPr>
        <w:t>Kolejność wypełniania pliku.</w:t>
      </w:r>
    </w:p>
    <w:p w:rsidR="00F303F8" w:rsidRPr="00FF3F3E" w:rsidRDefault="00F303F8" w:rsidP="00F303F8">
      <w:pPr>
        <w:spacing w:after="0" w:line="240" w:lineRule="auto"/>
        <w:jc w:val="both"/>
        <w:rPr>
          <w:rFonts w:cstheme="minorHAnsi"/>
          <w:sz w:val="20"/>
          <w:szCs w:val="20"/>
        </w:rPr>
      </w:pPr>
      <w:r w:rsidRPr="00FF3F3E">
        <w:rPr>
          <w:rFonts w:cstheme="minorHAnsi"/>
          <w:sz w:val="20"/>
          <w:szCs w:val="20"/>
        </w:rPr>
        <w:t>Proponujemy by rozpocząć od wypełniania zakładek dotyczących podmiotów. Tj. Wnioskodawca (obligatoryjnie) oraz Partner 1, Partner 2, itd. (jeśli dotyczy). Zakładki te są identyczne zatem poniżej przedstawione zostało omówienie wypełniania na podstawie zakładki Wnioskodawca.</w:t>
      </w:r>
    </w:p>
    <w:p w:rsidR="00DF24FC" w:rsidRPr="00FF3F3E" w:rsidRDefault="00DF24FC" w:rsidP="00F303F8">
      <w:pPr>
        <w:spacing w:after="0" w:line="240" w:lineRule="auto"/>
        <w:jc w:val="both"/>
        <w:rPr>
          <w:rFonts w:cstheme="minorHAnsi"/>
          <w:sz w:val="20"/>
          <w:szCs w:val="20"/>
        </w:rPr>
      </w:pPr>
    </w:p>
    <w:p w:rsidR="00DF24FC" w:rsidRPr="00FF3F3E" w:rsidRDefault="00DF24FC" w:rsidP="00DF24FC">
      <w:pPr>
        <w:pStyle w:val="ListParagraph"/>
        <w:numPr>
          <w:ilvl w:val="0"/>
          <w:numId w:val="1"/>
        </w:numPr>
        <w:spacing w:after="0" w:line="240" w:lineRule="auto"/>
        <w:ind w:left="426"/>
        <w:jc w:val="both"/>
        <w:rPr>
          <w:rFonts w:cstheme="minorHAnsi"/>
          <w:sz w:val="20"/>
          <w:szCs w:val="20"/>
        </w:rPr>
      </w:pPr>
      <w:r w:rsidRPr="00FF3F3E">
        <w:rPr>
          <w:rFonts w:cstheme="minorHAnsi"/>
          <w:sz w:val="20"/>
          <w:szCs w:val="20"/>
        </w:rPr>
        <w:t>Wypełnij białe pola z Tabela 1. Założenia dla podmiotu - NALEŻY WYPEŁNIĆ BIAŁE POLA</w:t>
      </w:r>
    </w:p>
    <w:p w:rsidR="0008052E" w:rsidRPr="00FF3F3E" w:rsidRDefault="0008052E" w:rsidP="0008052E">
      <w:pPr>
        <w:spacing w:after="0" w:line="240" w:lineRule="auto"/>
        <w:jc w:val="both"/>
        <w:rPr>
          <w:rFonts w:cstheme="minorHAnsi"/>
          <w:sz w:val="20"/>
          <w:szCs w:val="20"/>
        </w:rPr>
      </w:pPr>
    </w:p>
    <w:tbl>
      <w:tblPr>
        <w:tblStyle w:val="TableGrid"/>
        <w:tblW w:w="10201" w:type="dxa"/>
        <w:tblLook w:val="04A0"/>
      </w:tblPr>
      <w:tblGrid>
        <w:gridCol w:w="6379"/>
        <w:gridCol w:w="3822"/>
      </w:tblGrid>
      <w:tr w:rsidR="0008052E" w:rsidRPr="00FF3F3E" w:rsidTr="0008052E">
        <w:trPr>
          <w:trHeight w:val="2668"/>
        </w:trPr>
        <w:tc>
          <w:tcPr>
            <w:tcW w:w="6379" w:type="dxa"/>
            <w:vAlign w:val="center"/>
          </w:tcPr>
          <w:p w:rsidR="0008052E" w:rsidRPr="00FF3F3E" w:rsidRDefault="0008052E" w:rsidP="0008052E">
            <w:pPr>
              <w:jc w:val="both"/>
              <w:rPr>
                <w:rFonts w:cstheme="minorHAnsi"/>
                <w:sz w:val="20"/>
                <w:szCs w:val="20"/>
              </w:rPr>
            </w:pPr>
            <w:r w:rsidRPr="00FF3F3E">
              <w:rPr>
                <w:rFonts w:cstheme="minorHAnsi"/>
                <w:sz w:val="20"/>
                <w:szCs w:val="20"/>
              </w:rPr>
              <w:t>Pole „Wnioskodawca” – należy wpisać nazwę wnioskodawcy</w:t>
            </w:r>
            <w:r w:rsidR="00662B9A" w:rsidRPr="00FF3F3E">
              <w:rPr>
                <w:rFonts w:cstheme="minorHAnsi"/>
                <w:sz w:val="20"/>
                <w:szCs w:val="20"/>
              </w:rPr>
              <w:t>:</w:t>
            </w:r>
          </w:p>
          <w:p w:rsidR="0008052E" w:rsidRPr="00FF3F3E" w:rsidRDefault="0008052E" w:rsidP="0008052E">
            <w:pPr>
              <w:jc w:val="both"/>
              <w:rPr>
                <w:rFonts w:cstheme="minorHAnsi"/>
                <w:sz w:val="20"/>
                <w:szCs w:val="20"/>
              </w:rPr>
            </w:pPr>
          </w:p>
        </w:tc>
        <w:tc>
          <w:tcPr>
            <w:tcW w:w="3822" w:type="dxa"/>
            <w:vAlign w:val="center"/>
          </w:tcPr>
          <w:p w:rsidR="0008052E" w:rsidRPr="00FF3F3E" w:rsidRDefault="0008052E" w:rsidP="0008052E">
            <w:pPr>
              <w:jc w:val="both"/>
              <w:rPr>
                <w:rFonts w:cstheme="minorHAnsi"/>
                <w:sz w:val="20"/>
                <w:szCs w:val="20"/>
              </w:rPr>
            </w:pPr>
            <w:r w:rsidRPr="00FF3F3E">
              <w:rPr>
                <w:rFonts w:cstheme="minorHAnsi"/>
                <w:noProof/>
                <w:sz w:val="20"/>
                <w:szCs w:val="20"/>
                <w:lang w:eastAsia="pl-PL"/>
              </w:rPr>
              <w:drawing>
                <wp:inline distT="0" distB="0" distL="0" distR="0">
                  <wp:extent cx="1078230" cy="1259205"/>
                  <wp:effectExtent l="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8230" cy="1259205"/>
                          </a:xfrm>
                          <a:prstGeom prst="rect">
                            <a:avLst/>
                          </a:prstGeom>
                          <a:noFill/>
                          <a:ln>
                            <a:noFill/>
                          </a:ln>
                        </pic:spPr>
                      </pic:pic>
                    </a:graphicData>
                  </a:graphic>
                </wp:inline>
              </w:drawing>
            </w:r>
          </w:p>
        </w:tc>
      </w:tr>
      <w:tr w:rsidR="0008052E" w:rsidRPr="00FF3F3E" w:rsidTr="0008052E">
        <w:trPr>
          <w:trHeight w:val="2512"/>
        </w:trPr>
        <w:tc>
          <w:tcPr>
            <w:tcW w:w="6379" w:type="dxa"/>
            <w:vAlign w:val="center"/>
          </w:tcPr>
          <w:p w:rsidR="0008052E" w:rsidRPr="00FF3F3E" w:rsidRDefault="0008052E" w:rsidP="0008052E">
            <w:pPr>
              <w:jc w:val="both"/>
              <w:rPr>
                <w:rFonts w:cstheme="minorHAnsi"/>
                <w:sz w:val="20"/>
                <w:szCs w:val="20"/>
              </w:rPr>
            </w:pPr>
            <w:r w:rsidRPr="00FF3F3E">
              <w:rPr>
                <w:rFonts w:cstheme="minorHAnsi"/>
                <w:sz w:val="20"/>
                <w:szCs w:val="20"/>
              </w:rPr>
              <w:lastRenderedPageBreak/>
              <w:t>Pole „Status” – z listy rozwijalnej należy wybrać: mikro, mały, średni, duży:</w:t>
            </w:r>
          </w:p>
        </w:tc>
        <w:tc>
          <w:tcPr>
            <w:tcW w:w="3822" w:type="dxa"/>
            <w:vAlign w:val="center"/>
          </w:tcPr>
          <w:p w:rsidR="0008052E" w:rsidRPr="00FF3F3E" w:rsidRDefault="0008052E" w:rsidP="0008052E">
            <w:pPr>
              <w:jc w:val="both"/>
              <w:rPr>
                <w:rFonts w:cstheme="minorHAnsi"/>
                <w:sz w:val="20"/>
                <w:szCs w:val="20"/>
              </w:rPr>
            </w:pPr>
            <w:r w:rsidRPr="00FF3F3E">
              <w:rPr>
                <w:rFonts w:cstheme="minorHAnsi"/>
                <w:noProof/>
                <w:sz w:val="20"/>
                <w:szCs w:val="20"/>
                <w:lang w:eastAsia="pl-PL"/>
              </w:rPr>
              <w:drawing>
                <wp:inline distT="0" distB="0" distL="0" distR="0">
                  <wp:extent cx="1302385" cy="139763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2385" cy="1397635"/>
                          </a:xfrm>
                          <a:prstGeom prst="rect">
                            <a:avLst/>
                          </a:prstGeom>
                          <a:noFill/>
                          <a:ln>
                            <a:noFill/>
                          </a:ln>
                        </pic:spPr>
                      </pic:pic>
                    </a:graphicData>
                  </a:graphic>
                </wp:inline>
              </w:drawing>
            </w:r>
          </w:p>
        </w:tc>
      </w:tr>
      <w:tr w:rsidR="0008052E" w:rsidRPr="00FF3F3E" w:rsidTr="0008052E">
        <w:tc>
          <w:tcPr>
            <w:tcW w:w="10201" w:type="dxa"/>
            <w:gridSpan w:val="2"/>
            <w:vAlign w:val="center"/>
          </w:tcPr>
          <w:p w:rsidR="0008052E" w:rsidRPr="00FF3F3E" w:rsidRDefault="0008052E" w:rsidP="0008052E">
            <w:pPr>
              <w:ind w:left="33"/>
              <w:rPr>
                <w:rFonts w:cstheme="minorHAnsi"/>
                <w:noProof/>
                <w:sz w:val="20"/>
                <w:szCs w:val="20"/>
              </w:rPr>
            </w:pPr>
            <w:r w:rsidRPr="00FF3F3E">
              <w:rPr>
                <w:rFonts w:cstheme="minorHAnsi"/>
                <w:sz w:val="20"/>
                <w:szCs w:val="20"/>
              </w:rPr>
              <w:t>Pola „POMOC PUBLICZNA”, „POMOC de minimis”, „BEZ POMOCY” – wypełnij wnioskowany poziom dofinansowania, nie większy niż maksymalny możliwy. Jeśli wpisane zostanie wyższe dofinansowanie niż jest możliwe, komórka zaświeci się na czerwono:</w:t>
            </w:r>
            <w:r w:rsidRPr="00FF3F3E">
              <w:rPr>
                <w:rFonts w:cstheme="minorHAnsi"/>
                <w:noProof/>
                <w:sz w:val="20"/>
                <w:szCs w:val="20"/>
              </w:rPr>
              <w:t xml:space="preserve"> </w:t>
            </w:r>
          </w:p>
          <w:p w:rsidR="0008052E" w:rsidRPr="00FF3F3E" w:rsidRDefault="0008052E" w:rsidP="0008052E">
            <w:pPr>
              <w:ind w:left="600"/>
              <w:rPr>
                <w:rFonts w:cstheme="minorHAnsi"/>
                <w:sz w:val="20"/>
                <w:szCs w:val="20"/>
              </w:rPr>
            </w:pPr>
            <w:r w:rsidRPr="00FF3F3E">
              <w:rPr>
                <w:rFonts w:cstheme="minorHAnsi"/>
                <w:noProof/>
                <w:sz w:val="20"/>
                <w:szCs w:val="20"/>
                <w:lang w:eastAsia="pl-PL"/>
              </w:rPr>
              <w:drawing>
                <wp:inline distT="0" distB="0" distL="0" distR="0">
                  <wp:extent cx="5624195" cy="105219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24195" cy="1052195"/>
                          </a:xfrm>
                          <a:prstGeom prst="rect">
                            <a:avLst/>
                          </a:prstGeom>
                          <a:noFill/>
                          <a:ln>
                            <a:noFill/>
                          </a:ln>
                        </pic:spPr>
                      </pic:pic>
                    </a:graphicData>
                  </a:graphic>
                </wp:inline>
              </w:drawing>
            </w:r>
          </w:p>
        </w:tc>
      </w:tr>
    </w:tbl>
    <w:p w:rsidR="00DF24FC" w:rsidRPr="00FF3F3E" w:rsidRDefault="00DF24FC" w:rsidP="00DF24FC">
      <w:pPr>
        <w:pStyle w:val="ListParagraph"/>
        <w:numPr>
          <w:ilvl w:val="0"/>
          <w:numId w:val="1"/>
        </w:numPr>
        <w:spacing w:after="0" w:line="240" w:lineRule="auto"/>
        <w:ind w:left="426"/>
        <w:jc w:val="both"/>
        <w:rPr>
          <w:rFonts w:cstheme="minorHAnsi"/>
          <w:sz w:val="20"/>
          <w:szCs w:val="20"/>
        </w:rPr>
      </w:pPr>
      <w:r w:rsidRPr="00FF3F3E">
        <w:rPr>
          <w:rFonts w:cstheme="minorHAnsi"/>
          <w:sz w:val="20"/>
          <w:szCs w:val="20"/>
        </w:rPr>
        <w:t>Wypełnij Tabelę 5: Wydatki w projekcie:</w:t>
      </w:r>
    </w:p>
    <w:p w:rsidR="0008052E" w:rsidRPr="00FF3F3E" w:rsidRDefault="0008052E" w:rsidP="0008052E">
      <w:pPr>
        <w:spacing w:after="0" w:line="240" w:lineRule="auto"/>
        <w:jc w:val="both"/>
        <w:rPr>
          <w:rFonts w:cstheme="minorHAnsi"/>
          <w:sz w:val="20"/>
          <w:szCs w:val="20"/>
        </w:rPr>
      </w:pPr>
    </w:p>
    <w:tbl>
      <w:tblPr>
        <w:tblStyle w:val="TableGrid"/>
        <w:tblW w:w="10226" w:type="dxa"/>
        <w:tblLook w:val="04A0"/>
      </w:tblPr>
      <w:tblGrid>
        <w:gridCol w:w="6232"/>
        <w:gridCol w:w="3994"/>
      </w:tblGrid>
      <w:tr w:rsidR="0008052E" w:rsidRPr="00FF3F3E" w:rsidTr="00BD1AA0">
        <w:trPr>
          <w:trHeight w:val="2366"/>
        </w:trPr>
        <w:tc>
          <w:tcPr>
            <w:tcW w:w="6232" w:type="dxa"/>
            <w:vAlign w:val="center"/>
          </w:tcPr>
          <w:p w:rsidR="0008052E" w:rsidRPr="00FF3F3E" w:rsidRDefault="0008052E" w:rsidP="0008052E">
            <w:pPr>
              <w:jc w:val="both"/>
              <w:rPr>
                <w:rFonts w:cstheme="minorHAnsi"/>
                <w:sz w:val="20"/>
                <w:szCs w:val="20"/>
              </w:rPr>
            </w:pPr>
            <w:r w:rsidRPr="00FF3F3E">
              <w:rPr>
                <w:rFonts w:cstheme="minorHAnsi"/>
                <w:sz w:val="20"/>
                <w:szCs w:val="20"/>
              </w:rPr>
              <w:t>Pole „Nazwa wydatku” – wpisz nazwę wydatku</w:t>
            </w:r>
            <w:r w:rsidR="00662B9A" w:rsidRPr="00FF3F3E">
              <w:rPr>
                <w:rFonts w:cstheme="minorHAnsi"/>
                <w:sz w:val="20"/>
                <w:szCs w:val="20"/>
              </w:rPr>
              <w:t xml:space="preserve"> - </w:t>
            </w:r>
            <w:r w:rsidR="00662B9A" w:rsidRPr="00FF3F3E">
              <w:rPr>
                <w:rFonts w:eastAsia="Calibri" w:cstheme="minorHAnsi"/>
                <w:sz w:val="20"/>
                <w:szCs w:val="20"/>
              </w:rPr>
              <w:t>należy zachować szczegółowość, która umożliwi identyfikację kosztu, tym</w:t>
            </w:r>
            <w:r w:rsidR="00662B9A" w:rsidRPr="00FF3F3E">
              <w:rPr>
                <w:rFonts w:eastAsia="Calibri" w:cstheme="minorHAnsi"/>
                <w:b/>
                <w:bCs/>
                <w:sz w:val="20"/>
                <w:szCs w:val="20"/>
              </w:rPr>
              <w:t xml:space="preserve"> </w:t>
            </w:r>
            <w:r w:rsidR="00662B9A" w:rsidRPr="00FF3F3E">
              <w:rPr>
                <w:rFonts w:eastAsia="Calibri" w:cstheme="minorHAnsi"/>
                <w:sz w:val="20"/>
                <w:szCs w:val="20"/>
              </w:rPr>
              <w:t>samym weryfikację zgodności planowanych kosztów z Wykazem wydatków kwalifikowalnych:</w:t>
            </w:r>
          </w:p>
        </w:tc>
        <w:tc>
          <w:tcPr>
            <w:tcW w:w="3994" w:type="dxa"/>
            <w:vAlign w:val="center"/>
          </w:tcPr>
          <w:p w:rsidR="0008052E" w:rsidRPr="00FF3F3E" w:rsidRDefault="0008052E" w:rsidP="0008052E">
            <w:pPr>
              <w:jc w:val="both"/>
              <w:rPr>
                <w:rFonts w:cstheme="minorHAnsi"/>
                <w:sz w:val="20"/>
                <w:szCs w:val="20"/>
              </w:rPr>
            </w:pPr>
            <w:r w:rsidRPr="00FF3F3E">
              <w:rPr>
                <w:rFonts w:cstheme="minorHAnsi"/>
                <w:noProof/>
                <w:sz w:val="20"/>
                <w:szCs w:val="20"/>
                <w:lang w:eastAsia="pl-PL"/>
              </w:rPr>
              <w:drawing>
                <wp:inline distT="0" distB="0" distL="0" distR="0">
                  <wp:extent cx="1190625" cy="128524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0625" cy="1285240"/>
                          </a:xfrm>
                          <a:prstGeom prst="rect">
                            <a:avLst/>
                          </a:prstGeom>
                          <a:noFill/>
                          <a:ln>
                            <a:noFill/>
                          </a:ln>
                        </pic:spPr>
                      </pic:pic>
                    </a:graphicData>
                  </a:graphic>
                </wp:inline>
              </w:drawing>
            </w:r>
          </w:p>
        </w:tc>
      </w:tr>
      <w:tr w:rsidR="0008052E" w:rsidRPr="00FF3F3E" w:rsidTr="00BD1AA0">
        <w:trPr>
          <w:trHeight w:val="3303"/>
        </w:trPr>
        <w:tc>
          <w:tcPr>
            <w:tcW w:w="6232" w:type="dxa"/>
            <w:vAlign w:val="center"/>
          </w:tcPr>
          <w:p w:rsidR="0008052E" w:rsidRPr="00FF3F3E" w:rsidRDefault="0008052E" w:rsidP="004272D9">
            <w:pPr>
              <w:spacing w:line="276" w:lineRule="auto"/>
              <w:ind w:right="20"/>
              <w:jc w:val="both"/>
              <w:rPr>
                <w:rFonts w:cstheme="minorHAnsi"/>
                <w:b/>
                <w:sz w:val="20"/>
                <w:szCs w:val="20"/>
              </w:rPr>
            </w:pPr>
            <w:r w:rsidRPr="00FF3F3E">
              <w:rPr>
                <w:rFonts w:cstheme="minorHAnsi"/>
                <w:sz w:val="20"/>
                <w:szCs w:val="20"/>
              </w:rPr>
              <w:t xml:space="preserve">Pole „Rodzaj pomocy” – </w:t>
            </w:r>
            <w:r w:rsidR="004272D9" w:rsidRPr="00FF3F3E">
              <w:rPr>
                <w:rFonts w:cstheme="minorHAnsi"/>
                <w:sz w:val="20"/>
                <w:szCs w:val="20"/>
              </w:rPr>
              <w:t>należy wskazać na jakiej podstawie poszczególny wydatek będzie poniesiony.</w:t>
            </w:r>
            <w:r w:rsidRPr="00FF3F3E">
              <w:rPr>
                <w:rFonts w:cstheme="minorHAnsi"/>
                <w:sz w:val="20"/>
                <w:szCs w:val="20"/>
              </w:rPr>
              <w:t xml:space="preserve"> Należy wybrać z listy rozwijalnej:</w:t>
            </w:r>
          </w:p>
          <w:p w:rsidR="0008052E" w:rsidRPr="00FF3F3E" w:rsidRDefault="0008052E" w:rsidP="0008052E">
            <w:pPr>
              <w:jc w:val="both"/>
              <w:rPr>
                <w:rFonts w:cstheme="minorHAnsi"/>
                <w:sz w:val="20"/>
                <w:szCs w:val="20"/>
              </w:rPr>
            </w:pPr>
          </w:p>
        </w:tc>
        <w:tc>
          <w:tcPr>
            <w:tcW w:w="3994" w:type="dxa"/>
            <w:vAlign w:val="center"/>
          </w:tcPr>
          <w:p w:rsidR="0008052E" w:rsidRPr="00FF3F3E" w:rsidRDefault="0008052E" w:rsidP="0008052E">
            <w:pPr>
              <w:jc w:val="both"/>
              <w:rPr>
                <w:rFonts w:cstheme="minorHAnsi"/>
                <w:sz w:val="20"/>
                <w:szCs w:val="20"/>
              </w:rPr>
            </w:pPr>
            <w:r w:rsidRPr="00FF3F3E">
              <w:rPr>
                <w:rFonts w:cstheme="minorHAnsi"/>
                <w:noProof/>
                <w:sz w:val="20"/>
                <w:szCs w:val="20"/>
                <w:lang w:eastAsia="pl-PL"/>
              </w:rPr>
              <w:drawing>
                <wp:inline distT="0" distB="0" distL="0" distR="0">
                  <wp:extent cx="1181735" cy="171640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1735" cy="1716405"/>
                          </a:xfrm>
                          <a:prstGeom prst="rect">
                            <a:avLst/>
                          </a:prstGeom>
                          <a:noFill/>
                          <a:ln>
                            <a:noFill/>
                          </a:ln>
                        </pic:spPr>
                      </pic:pic>
                    </a:graphicData>
                  </a:graphic>
                </wp:inline>
              </w:drawing>
            </w:r>
          </w:p>
        </w:tc>
      </w:tr>
      <w:tr w:rsidR="0008052E" w:rsidRPr="00FF3F3E" w:rsidTr="00BD1AA0">
        <w:trPr>
          <w:trHeight w:val="3109"/>
        </w:trPr>
        <w:tc>
          <w:tcPr>
            <w:tcW w:w="6232" w:type="dxa"/>
            <w:vAlign w:val="center"/>
          </w:tcPr>
          <w:p w:rsidR="0008052E" w:rsidRPr="00FF3F3E" w:rsidRDefault="0008052E" w:rsidP="0008052E">
            <w:pPr>
              <w:jc w:val="both"/>
              <w:rPr>
                <w:rFonts w:cstheme="minorHAnsi"/>
                <w:sz w:val="20"/>
                <w:szCs w:val="20"/>
              </w:rPr>
            </w:pPr>
            <w:r w:rsidRPr="00FF3F3E">
              <w:rPr>
                <w:rFonts w:cstheme="minorHAnsi"/>
                <w:sz w:val="20"/>
                <w:szCs w:val="20"/>
              </w:rPr>
              <w:t>Pole „Kategoria wydatków” – należy wybrać z listy rozwijalnej odpowiednia kategorię wydatków</w:t>
            </w:r>
            <w:r w:rsidR="004272D9" w:rsidRPr="00FF3F3E">
              <w:rPr>
                <w:rFonts w:cstheme="minorHAnsi"/>
                <w:sz w:val="20"/>
                <w:szCs w:val="20"/>
              </w:rPr>
              <w:t>. Opis poszczególnych kategorii kosztów znajduje się w instrukcji</w:t>
            </w:r>
            <w:r w:rsidRPr="00FF3F3E">
              <w:rPr>
                <w:rFonts w:cstheme="minorHAnsi"/>
                <w:sz w:val="20"/>
                <w:szCs w:val="20"/>
              </w:rPr>
              <w:t xml:space="preserve">: </w:t>
            </w:r>
          </w:p>
          <w:p w:rsidR="0008052E" w:rsidRPr="00FF3F3E" w:rsidRDefault="0008052E" w:rsidP="0008052E">
            <w:pPr>
              <w:jc w:val="both"/>
              <w:rPr>
                <w:rFonts w:cstheme="minorHAnsi"/>
                <w:sz w:val="20"/>
                <w:szCs w:val="20"/>
              </w:rPr>
            </w:pPr>
          </w:p>
        </w:tc>
        <w:tc>
          <w:tcPr>
            <w:tcW w:w="3994" w:type="dxa"/>
            <w:vAlign w:val="center"/>
          </w:tcPr>
          <w:p w:rsidR="0008052E" w:rsidRPr="00FF3F3E" w:rsidRDefault="0008052E" w:rsidP="0008052E">
            <w:pPr>
              <w:jc w:val="both"/>
              <w:rPr>
                <w:rFonts w:cstheme="minorHAnsi"/>
                <w:sz w:val="20"/>
                <w:szCs w:val="20"/>
              </w:rPr>
            </w:pPr>
            <w:r w:rsidRPr="00FF3F3E">
              <w:rPr>
                <w:rFonts w:cstheme="minorHAnsi"/>
                <w:noProof/>
                <w:sz w:val="20"/>
                <w:szCs w:val="20"/>
                <w:lang w:eastAsia="pl-PL"/>
              </w:rPr>
              <w:drawing>
                <wp:inline distT="0" distB="0" distL="0" distR="0">
                  <wp:extent cx="1682115" cy="1561465"/>
                  <wp:effectExtent l="0" t="0" r="0" b="63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82115" cy="1561465"/>
                          </a:xfrm>
                          <a:prstGeom prst="rect">
                            <a:avLst/>
                          </a:prstGeom>
                          <a:noFill/>
                          <a:ln>
                            <a:noFill/>
                          </a:ln>
                        </pic:spPr>
                      </pic:pic>
                    </a:graphicData>
                  </a:graphic>
                </wp:inline>
              </w:drawing>
            </w:r>
          </w:p>
        </w:tc>
      </w:tr>
      <w:tr w:rsidR="0008052E" w:rsidRPr="00FF3F3E" w:rsidTr="00BD1AA0">
        <w:trPr>
          <w:trHeight w:val="1705"/>
        </w:trPr>
        <w:tc>
          <w:tcPr>
            <w:tcW w:w="6232" w:type="dxa"/>
            <w:vAlign w:val="center"/>
          </w:tcPr>
          <w:p w:rsidR="0008052E" w:rsidRPr="00FF3F3E" w:rsidRDefault="00761F46" w:rsidP="0008052E">
            <w:pPr>
              <w:jc w:val="both"/>
              <w:rPr>
                <w:rFonts w:cstheme="minorHAnsi"/>
                <w:sz w:val="20"/>
                <w:szCs w:val="20"/>
              </w:rPr>
            </w:pPr>
            <w:r w:rsidRPr="00FF3F3E">
              <w:rPr>
                <w:rFonts w:cstheme="minorHAnsi"/>
                <w:sz w:val="20"/>
                <w:szCs w:val="20"/>
              </w:rPr>
              <w:lastRenderedPageBreak/>
              <w:t>Pola „Wydatki całkowite”, „W tym wydatki POTENCJALNIE kwalifikowane” – należy wypełnić zgodnie z ich kwalifikowalnością</w:t>
            </w:r>
          </w:p>
        </w:tc>
        <w:tc>
          <w:tcPr>
            <w:tcW w:w="3994" w:type="dxa"/>
            <w:vAlign w:val="center"/>
          </w:tcPr>
          <w:p w:rsidR="0008052E" w:rsidRPr="00FF3F3E" w:rsidRDefault="00761F46" w:rsidP="0008052E">
            <w:pPr>
              <w:jc w:val="both"/>
              <w:rPr>
                <w:rFonts w:cstheme="minorHAnsi"/>
                <w:sz w:val="20"/>
                <w:szCs w:val="20"/>
              </w:rPr>
            </w:pPr>
            <w:r w:rsidRPr="00FF3F3E">
              <w:rPr>
                <w:rFonts w:cstheme="minorHAnsi"/>
                <w:sz w:val="20"/>
                <w:szCs w:val="20"/>
              </w:rPr>
              <w:object w:dxaOrig="2989" w:dyaOrig="1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15pt;height:1in" o:ole="">
                  <v:imagedata r:id="rId14" o:title=""/>
                </v:shape>
                <o:OLEObject Type="Embed" ProgID="PBrush" ShapeID="_x0000_i1025" DrawAspect="Content" ObjectID="_1650882286" r:id="rId15"/>
              </w:object>
            </w:r>
          </w:p>
        </w:tc>
      </w:tr>
      <w:tr w:rsidR="0008052E" w:rsidRPr="00FF3F3E" w:rsidTr="00BD1AA0">
        <w:trPr>
          <w:trHeight w:val="1674"/>
        </w:trPr>
        <w:tc>
          <w:tcPr>
            <w:tcW w:w="6232" w:type="dxa"/>
            <w:vAlign w:val="center"/>
          </w:tcPr>
          <w:p w:rsidR="0008052E" w:rsidRPr="00FF3F3E" w:rsidRDefault="00761F46" w:rsidP="00C938D3">
            <w:pPr>
              <w:jc w:val="both"/>
              <w:rPr>
                <w:rFonts w:cstheme="minorHAnsi"/>
                <w:sz w:val="20"/>
                <w:szCs w:val="20"/>
              </w:rPr>
            </w:pPr>
            <w:r w:rsidRPr="00FF3F3E">
              <w:rPr>
                <w:rFonts w:cstheme="minorHAnsi"/>
                <w:sz w:val="20"/>
                <w:szCs w:val="20"/>
              </w:rPr>
              <w:t xml:space="preserve">Pole „W tym wydatki kwalifikowane z uwzględnieniem inwestycji referencyjnej” – wypełnianie jest automatycznie z uwzględnieniem inwestycji referencyjnej, która </w:t>
            </w:r>
            <w:r w:rsidR="00C938D3">
              <w:rPr>
                <w:rFonts w:cstheme="minorHAnsi"/>
                <w:sz w:val="20"/>
                <w:szCs w:val="20"/>
              </w:rPr>
              <w:t xml:space="preserve">została opisana w dalszej części załącznika. </w:t>
            </w:r>
          </w:p>
        </w:tc>
        <w:tc>
          <w:tcPr>
            <w:tcW w:w="3994" w:type="dxa"/>
            <w:vAlign w:val="center"/>
          </w:tcPr>
          <w:p w:rsidR="0008052E" w:rsidRPr="00FF3F3E" w:rsidRDefault="00761F46" w:rsidP="0008052E">
            <w:pPr>
              <w:jc w:val="both"/>
              <w:rPr>
                <w:rFonts w:cstheme="minorHAnsi"/>
                <w:sz w:val="20"/>
                <w:szCs w:val="20"/>
              </w:rPr>
            </w:pPr>
            <w:r w:rsidRPr="00FF3F3E">
              <w:rPr>
                <w:rFonts w:cstheme="minorHAnsi"/>
                <w:sz w:val="20"/>
                <w:szCs w:val="20"/>
              </w:rPr>
              <w:object w:dxaOrig="1562" w:dyaOrig="1413">
                <v:shape id="_x0000_i1026" type="#_x0000_t75" style="width:79.15pt;height:1in" o:ole="">
                  <v:imagedata r:id="rId16" o:title=""/>
                </v:shape>
                <o:OLEObject Type="Embed" ProgID="PBrush" ShapeID="_x0000_i1026" DrawAspect="Content" ObjectID="_1650882287" r:id="rId17"/>
              </w:object>
            </w:r>
          </w:p>
        </w:tc>
      </w:tr>
      <w:tr w:rsidR="0008052E" w:rsidRPr="00FF3F3E" w:rsidTr="00BD1AA0">
        <w:trPr>
          <w:trHeight w:val="1842"/>
        </w:trPr>
        <w:tc>
          <w:tcPr>
            <w:tcW w:w="6232" w:type="dxa"/>
            <w:vAlign w:val="center"/>
          </w:tcPr>
          <w:p w:rsidR="00BD1AA0" w:rsidRPr="00FF3F3E" w:rsidRDefault="00761F46" w:rsidP="00BD1AA0">
            <w:pPr>
              <w:spacing w:line="276" w:lineRule="auto"/>
              <w:jc w:val="both"/>
              <w:rPr>
                <w:rFonts w:cstheme="minorHAnsi"/>
                <w:sz w:val="20"/>
                <w:szCs w:val="20"/>
              </w:rPr>
            </w:pPr>
            <w:r w:rsidRPr="00FF3F3E">
              <w:rPr>
                <w:rFonts w:cstheme="minorHAnsi"/>
                <w:sz w:val="20"/>
                <w:szCs w:val="20"/>
              </w:rPr>
              <w:t xml:space="preserve">Pole „Uzasadnienie potrzeb inwestycyjnych” – </w:t>
            </w:r>
            <w:r w:rsidR="00BD1AA0" w:rsidRPr="00FF3F3E">
              <w:rPr>
                <w:rFonts w:eastAsia="Calibri" w:cstheme="minorHAnsi"/>
                <w:sz w:val="20"/>
                <w:szCs w:val="20"/>
              </w:rPr>
              <w:t>opis wydatków powinien być możliwie</w:t>
            </w:r>
            <w:r w:rsidR="00BD1AA0" w:rsidRPr="00FF3F3E">
              <w:rPr>
                <w:rFonts w:eastAsia="Calibri" w:cstheme="minorHAnsi"/>
                <w:b/>
                <w:bCs/>
                <w:sz w:val="20"/>
                <w:szCs w:val="20"/>
              </w:rPr>
              <w:t xml:space="preserve"> </w:t>
            </w:r>
            <w:r w:rsidR="00C938D3">
              <w:rPr>
                <w:rFonts w:eastAsia="Calibri" w:cstheme="minorHAnsi"/>
                <w:sz w:val="20"/>
                <w:szCs w:val="20"/>
              </w:rPr>
              <w:t xml:space="preserve">dokładny </w:t>
            </w:r>
            <w:r w:rsidR="00BD1AA0" w:rsidRPr="00FF3F3E">
              <w:rPr>
                <w:rFonts w:eastAsia="Calibri" w:cstheme="minorHAnsi"/>
                <w:sz w:val="20"/>
                <w:szCs w:val="20"/>
              </w:rPr>
              <w:t>i konkretny. W szczególności opis musi zawierać dokładną liczbę urządzeń/maszyn/elementów (środków trwałych/wartości niematerialnych i prawnych) oraz parametry przedmiotów (środków trwałych oraz wartości niematerialnych i prawnych), które planowane są do zakupu. Z jednej strony należy unikać określeń zbyt ogólnikowych takich jak: „np.”, „około”, „inne”, „m.in.”, z drugiej – niedopuszczalne jest stosowanie opisu zbyt precyzyjnego oraz używanie nazw własnych, wskazujących na konkretny typ, model, producenta urządzeń/maszyn/elementów, co narusza zasady konkurencyjności. W wypadku zakupu tzw. kompletów środków trwałych (np. narzędzi, itp.) należy określić szczegółowo z czego składa się taki zestaw lub wskazać zewnętrzne źródło opisujące jednoznacznie skład czy zakres ilościowy takiego zakupu. Katalog wydatków nie może być otwarty (tzn. nie może zawierać wyrażeń takich jak „np.”, „i inne”, „m.in.”).</w:t>
            </w:r>
          </w:p>
          <w:p w:rsidR="00BD1AA0" w:rsidRPr="00FF3F3E" w:rsidRDefault="00BD1AA0" w:rsidP="00BD1AA0">
            <w:pPr>
              <w:spacing w:line="114" w:lineRule="exact"/>
              <w:ind w:left="720" w:hanging="360"/>
              <w:rPr>
                <w:rFonts w:cstheme="minorHAnsi"/>
                <w:sz w:val="20"/>
                <w:szCs w:val="20"/>
              </w:rPr>
            </w:pPr>
          </w:p>
          <w:p w:rsidR="00BD1AA0" w:rsidRPr="00FF3F3E" w:rsidRDefault="00BD1AA0" w:rsidP="00BD1AA0">
            <w:pPr>
              <w:spacing w:line="264" w:lineRule="auto"/>
              <w:jc w:val="both"/>
              <w:rPr>
                <w:rFonts w:eastAsia="Calibri" w:cstheme="minorHAnsi"/>
                <w:sz w:val="20"/>
                <w:szCs w:val="20"/>
              </w:rPr>
            </w:pPr>
            <w:r w:rsidRPr="00FF3F3E">
              <w:rPr>
                <w:rFonts w:eastAsia="Calibri" w:cstheme="minorHAnsi"/>
                <w:sz w:val="20"/>
                <w:szCs w:val="20"/>
              </w:rPr>
              <w:t xml:space="preserve">Należy pamiętać, aby zarówno nazwa wydatku, jak i jego opis, wskazywały jednoznacznie, co Wnioskodawca w ramach projektu zamierza zakupić (jakiego rodzaju przedmioty, urządzenia, materiały, roboty itp.) Jakość zawartego uzasadnienia będzie miała szczególne znaczenie </w:t>
            </w:r>
            <w:r w:rsidRPr="00FF3F3E">
              <w:rPr>
                <w:rFonts w:eastAsia="Calibri" w:cstheme="minorHAnsi"/>
                <w:sz w:val="20"/>
                <w:szCs w:val="20"/>
              </w:rPr>
              <w:br/>
              <w:t>w opisie maszyn i urządzeń wykonywanych na indywidua</w:t>
            </w:r>
            <w:r w:rsidR="00C938D3">
              <w:rPr>
                <w:rFonts w:eastAsia="Calibri" w:cstheme="minorHAnsi"/>
                <w:sz w:val="20"/>
                <w:szCs w:val="20"/>
              </w:rPr>
              <w:t xml:space="preserve">lne zamówienie czy w pozycjach </w:t>
            </w:r>
            <w:r w:rsidRPr="00FF3F3E">
              <w:rPr>
                <w:rFonts w:eastAsia="Calibri" w:cstheme="minorHAnsi"/>
                <w:sz w:val="20"/>
                <w:szCs w:val="20"/>
              </w:rPr>
              <w:t>o wysokim koszcie zakupu.</w:t>
            </w:r>
          </w:p>
          <w:p w:rsidR="0008052E" w:rsidRPr="00FF3F3E" w:rsidRDefault="0008052E" w:rsidP="0008052E">
            <w:pPr>
              <w:jc w:val="both"/>
              <w:rPr>
                <w:rFonts w:cstheme="minorHAnsi"/>
                <w:sz w:val="20"/>
                <w:szCs w:val="20"/>
              </w:rPr>
            </w:pPr>
          </w:p>
          <w:p w:rsidR="00BD1AA0" w:rsidRPr="00FF3F3E" w:rsidRDefault="00BD1AA0" w:rsidP="00BD1AA0">
            <w:pPr>
              <w:tabs>
                <w:tab w:val="left" w:pos="800"/>
                <w:tab w:val="left" w:pos="1620"/>
                <w:tab w:val="left" w:pos="2000"/>
                <w:tab w:val="left" w:pos="2880"/>
                <w:tab w:val="left" w:pos="3220"/>
                <w:tab w:val="left" w:pos="3860"/>
                <w:tab w:val="left" w:pos="4780"/>
                <w:tab w:val="left" w:pos="5920"/>
                <w:tab w:val="left" w:pos="6820"/>
                <w:tab w:val="left" w:pos="8260"/>
              </w:tabs>
              <w:spacing w:line="237" w:lineRule="auto"/>
              <w:jc w:val="both"/>
              <w:rPr>
                <w:rFonts w:cstheme="minorHAnsi"/>
                <w:sz w:val="20"/>
                <w:szCs w:val="20"/>
              </w:rPr>
            </w:pPr>
            <w:r w:rsidRPr="00FF3F3E">
              <w:rPr>
                <w:rFonts w:eastAsia="Calibri" w:cstheme="minorHAnsi"/>
                <w:bCs/>
                <w:sz w:val="20"/>
                <w:szCs w:val="20"/>
              </w:rPr>
              <w:t xml:space="preserve">Ponadto w </w:t>
            </w:r>
            <w:r w:rsidRPr="00FF3F3E">
              <w:rPr>
                <w:rFonts w:eastAsia="Calibri" w:cstheme="minorHAnsi"/>
                <w:b/>
                <w:bCs/>
                <w:sz w:val="20"/>
                <w:szCs w:val="20"/>
              </w:rPr>
              <w:t>uzasadnieniu potrzeb inwestycyjnych</w:t>
            </w:r>
            <w:r w:rsidRPr="00FF3F3E">
              <w:rPr>
                <w:rFonts w:eastAsia="Calibri" w:cstheme="minorHAnsi"/>
                <w:bCs/>
                <w:sz w:val="20"/>
                <w:szCs w:val="20"/>
              </w:rPr>
              <w:t xml:space="preserve"> należy</w:t>
            </w:r>
            <w:r w:rsidRPr="00FF3F3E">
              <w:rPr>
                <w:rFonts w:cstheme="minorHAnsi"/>
                <w:sz w:val="20"/>
                <w:szCs w:val="20"/>
              </w:rPr>
              <w:t xml:space="preserve"> </w:t>
            </w:r>
            <w:r w:rsidRPr="00FF3F3E">
              <w:rPr>
                <w:rFonts w:eastAsia="Calibri" w:cstheme="minorHAnsi"/>
                <w:bCs/>
                <w:sz w:val="20"/>
                <w:szCs w:val="20"/>
              </w:rPr>
              <w:t>podać,</w:t>
            </w:r>
            <w:r w:rsidRPr="00FF3F3E">
              <w:rPr>
                <w:rFonts w:cstheme="minorHAnsi"/>
                <w:sz w:val="20"/>
                <w:szCs w:val="20"/>
              </w:rPr>
              <w:t xml:space="preserve"> </w:t>
            </w:r>
            <w:r w:rsidRPr="00FF3F3E">
              <w:rPr>
                <w:rFonts w:eastAsia="Calibri" w:cstheme="minorHAnsi"/>
                <w:bCs/>
                <w:sz w:val="20"/>
                <w:szCs w:val="20"/>
              </w:rPr>
              <w:t>w</w:t>
            </w:r>
            <w:r w:rsidRPr="00FF3F3E">
              <w:rPr>
                <w:rFonts w:cstheme="minorHAnsi"/>
                <w:sz w:val="20"/>
                <w:szCs w:val="20"/>
              </w:rPr>
              <w:t xml:space="preserve"> </w:t>
            </w:r>
            <w:r w:rsidRPr="00FF3F3E">
              <w:rPr>
                <w:rFonts w:eastAsia="Calibri" w:cstheme="minorHAnsi"/>
                <w:bCs/>
                <w:sz w:val="20"/>
                <w:szCs w:val="20"/>
              </w:rPr>
              <w:t>oparciu</w:t>
            </w:r>
            <w:r w:rsidRPr="00FF3F3E">
              <w:rPr>
                <w:rFonts w:cstheme="minorHAnsi"/>
                <w:sz w:val="20"/>
                <w:szCs w:val="20"/>
              </w:rPr>
              <w:t xml:space="preserve"> </w:t>
            </w:r>
            <w:r w:rsidRPr="00FF3F3E">
              <w:rPr>
                <w:rFonts w:eastAsia="Calibri" w:cstheme="minorHAnsi"/>
                <w:bCs/>
                <w:sz w:val="20"/>
                <w:szCs w:val="20"/>
              </w:rPr>
              <w:t>o</w:t>
            </w:r>
            <w:r w:rsidRPr="00FF3F3E">
              <w:rPr>
                <w:rFonts w:cstheme="minorHAnsi"/>
                <w:sz w:val="20"/>
                <w:szCs w:val="20"/>
              </w:rPr>
              <w:t xml:space="preserve"> </w:t>
            </w:r>
            <w:r w:rsidRPr="00FF3F3E">
              <w:rPr>
                <w:rFonts w:eastAsia="Calibri" w:cstheme="minorHAnsi"/>
                <w:bCs/>
                <w:sz w:val="20"/>
                <w:szCs w:val="20"/>
              </w:rPr>
              <w:t>jakie</w:t>
            </w:r>
            <w:r w:rsidRPr="00FF3F3E">
              <w:rPr>
                <w:rFonts w:cstheme="minorHAnsi"/>
                <w:sz w:val="20"/>
                <w:szCs w:val="20"/>
              </w:rPr>
              <w:t xml:space="preserve"> </w:t>
            </w:r>
            <w:r w:rsidRPr="00FF3F3E">
              <w:rPr>
                <w:rFonts w:eastAsia="Calibri" w:cstheme="minorHAnsi"/>
                <w:bCs/>
                <w:sz w:val="20"/>
                <w:szCs w:val="20"/>
              </w:rPr>
              <w:t>kryteria</w:t>
            </w:r>
            <w:r w:rsidRPr="00FF3F3E">
              <w:rPr>
                <w:rFonts w:cstheme="minorHAnsi"/>
                <w:sz w:val="20"/>
                <w:szCs w:val="20"/>
              </w:rPr>
              <w:t xml:space="preserve"> </w:t>
            </w:r>
            <w:r w:rsidRPr="00FF3F3E">
              <w:rPr>
                <w:rFonts w:eastAsia="Calibri" w:cstheme="minorHAnsi"/>
                <w:bCs/>
                <w:sz w:val="20"/>
                <w:szCs w:val="20"/>
              </w:rPr>
              <w:t>dokonano</w:t>
            </w:r>
            <w:r w:rsidRPr="00FF3F3E">
              <w:rPr>
                <w:rFonts w:cstheme="minorHAnsi"/>
                <w:sz w:val="20"/>
                <w:szCs w:val="20"/>
              </w:rPr>
              <w:t xml:space="preserve"> </w:t>
            </w:r>
            <w:r w:rsidRPr="00FF3F3E">
              <w:rPr>
                <w:rFonts w:eastAsia="Calibri" w:cstheme="minorHAnsi"/>
                <w:bCs/>
                <w:sz w:val="20"/>
                <w:szCs w:val="20"/>
              </w:rPr>
              <w:t>wyboru</w:t>
            </w:r>
            <w:r w:rsidRPr="00FF3F3E">
              <w:rPr>
                <w:rFonts w:cstheme="minorHAnsi"/>
                <w:sz w:val="20"/>
                <w:szCs w:val="20"/>
              </w:rPr>
              <w:t xml:space="preserve"> </w:t>
            </w:r>
            <w:r w:rsidRPr="00FF3F3E">
              <w:rPr>
                <w:rFonts w:eastAsia="Calibri" w:cstheme="minorHAnsi"/>
                <w:bCs/>
                <w:sz w:val="20"/>
                <w:szCs w:val="20"/>
              </w:rPr>
              <w:t>przedmiotów</w:t>
            </w:r>
            <w:r w:rsidRPr="00FF3F3E">
              <w:rPr>
                <w:rFonts w:cstheme="minorHAnsi"/>
                <w:sz w:val="20"/>
                <w:szCs w:val="20"/>
              </w:rPr>
              <w:t xml:space="preserve"> </w:t>
            </w:r>
            <w:r w:rsidRPr="00FF3F3E">
              <w:rPr>
                <w:rFonts w:eastAsia="Calibri" w:cstheme="minorHAnsi"/>
                <w:bCs/>
                <w:sz w:val="20"/>
                <w:szCs w:val="20"/>
              </w:rPr>
              <w:t>objętych dofinansowaniem:</w:t>
            </w:r>
          </w:p>
          <w:p w:rsidR="00BD1AA0" w:rsidRPr="00FF3F3E" w:rsidRDefault="00BD1AA0" w:rsidP="00BD1AA0">
            <w:pPr>
              <w:spacing w:line="212" w:lineRule="exact"/>
              <w:rPr>
                <w:rFonts w:cstheme="minorHAnsi"/>
                <w:sz w:val="20"/>
                <w:szCs w:val="20"/>
              </w:rPr>
            </w:pPr>
          </w:p>
          <w:p w:rsidR="00BD1AA0" w:rsidRPr="00FF3F3E" w:rsidRDefault="00BD1AA0" w:rsidP="00BD1AA0">
            <w:pPr>
              <w:numPr>
                <w:ilvl w:val="0"/>
                <w:numId w:val="10"/>
              </w:numPr>
              <w:tabs>
                <w:tab w:val="left" w:pos="720"/>
              </w:tabs>
              <w:spacing w:line="268" w:lineRule="auto"/>
              <w:jc w:val="both"/>
              <w:rPr>
                <w:rFonts w:eastAsia="Calibri" w:cstheme="minorHAnsi"/>
                <w:sz w:val="20"/>
                <w:szCs w:val="20"/>
              </w:rPr>
            </w:pPr>
            <w:r w:rsidRPr="00FF3F3E">
              <w:rPr>
                <w:rFonts w:eastAsia="Calibri" w:cstheme="minorHAnsi"/>
                <w:b/>
                <w:sz w:val="20"/>
                <w:szCs w:val="20"/>
              </w:rPr>
              <w:t>Kryterium techniczne</w:t>
            </w:r>
            <w:r w:rsidRPr="00FF3F3E">
              <w:rPr>
                <w:rFonts w:eastAsia="Calibri" w:cstheme="minorHAnsi"/>
                <w:sz w:val="20"/>
                <w:szCs w:val="20"/>
              </w:rPr>
              <w:t xml:space="preserve"> – należy określić kluczowe/najważniejsze parametry techniczne, jakie muszą spełniać zakupione przedmioty, urządzenia. Niedopuszczalne przy tym jest używanie wartości skwantyfikowanych, parametry </w:t>
            </w:r>
            <w:r w:rsidRPr="00FF3F3E">
              <w:rPr>
                <w:rFonts w:eastAsia="Calibri" w:cstheme="minorHAnsi"/>
                <w:bCs/>
                <w:sz w:val="20"/>
                <w:szCs w:val="20"/>
              </w:rPr>
              <w:t>obligatoryjnie należy opisać poprzez podanie</w:t>
            </w:r>
            <w:r w:rsidRPr="00FF3F3E">
              <w:rPr>
                <w:rFonts w:eastAsia="Calibri" w:cstheme="minorHAnsi"/>
                <w:sz w:val="20"/>
                <w:szCs w:val="20"/>
              </w:rPr>
              <w:t xml:space="preserve"> </w:t>
            </w:r>
            <w:r w:rsidRPr="00FF3F3E">
              <w:rPr>
                <w:rFonts w:eastAsia="Calibri" w:cstheme="minorHAnsi"/>
                <w:bCs/>
                <w:sz w:val="20"/>
                <w:szCs w:val="20"/>
              </w:rPr>
              <w:t>wartości brzegowych</w:t>
            </w:r>
            <w:r w:rsidRPr="00FF3F3E">
              <w:rPr>
                <w:rFonts w:eastAsia="Calibri" w:cstheme="minorHAnsi"/>
                <w:b/>
                <w:bCs/>
                <w:sz w:val="20"/>
                <w:szCs w:val="20"/>
              </w:rPr>
              <w:t xml:space="preserve"> </w:t>
            </w:r>
            <w:r w:rsidRPr="00FF3F3E">
              <w:rPr>
                <w:rFonts w:eastAsia="Calibri" w:cstheme="minorHAnsi"/>
                <w:sz w:val="20"/>
                <w:szCs w:val="20"/>
              </w:rPr>
              <w:t>(tj. „min-max”) oraz cech charakterystycznych, opisujących dany rodzaj</w:t>
            </w:r>
            <w:r w:rsidRPr="00FF3F3E">
              <w:rPr>
                <w:rFonts w:eastAsia="Calibri" w:cstheme="minorHAnsi"/>
                <w:b/>
                <w:bCs/>
                <w:sz w:val="20"/>
                <w:szCs w:val="20"/>
              </w:rPr>
              <w:t xml:space="preserve"> </w:t>
            </w:r>
            <w:r w:rsidRPr="00FF3F3E">
              <w:rPr>
                <w:rFonts w:eastAsia="Calibri" w:cstheme="minorHAnsi"/>
                <w:sz w:val="20"/>
                <w:szCs w:val="20"/>
              </w:rPr>
              <w:t xml:space="preserve">urządzenia i pozwalających na jednoznaczne stwierdzenie o jakie urządzenie techniczne chodzi i jakie posiada ono możliwości (np. obszar roboczy, moc, wydajność). </w:t>
            </w:r>
            <w:r w:rsidRPr="00FF3F3E">
              <w:rPr>
                <w:rFonts w:eastAsia="Calibri" w:cstheme="minorHAnsi"/>
                <w:bCs/>
                <w:sz w:val="20"/>
                <w:szCs w:val="20"/>
                <w:u w:val="single"/>
              </w:rPr>
              <w:t>Należy unikać</w:t>
            </w:r>
            <w:r w:rsidRPr="00FF3F3E">
              <w:rPr>
                <w:rFonts w:eastAsia="Calibri" w:cstheme="minorHAnsi"/>
                <w:sz w:val="20"/>
                <w:szCs w:val="20"/>
              </w:rPr>
              <w:t xml:space="preserve"> </w:t>
            </w:r>
            <w:r w:rsidRPr="00FF3F3E">
              <w:rPr>
                <w:rFonts w:eastAsia="Calibri" w:cstheme="minorHAnsi"/>
                <w:bCs/>
                <w:sz w:val="20"/>
                <w:szCs w:val="20"/>
                <w:u w:val="single"/>
              </w:rPr>
              <w:t>podawania parametrów nieistotnych z punktu widzenia potrzeb inwestycyjnych</w:t>
            </w:r>
            <w:r w:rsidRPr="00FF3F3E">
              <w:rPr>
                <w:rFonts w:eastAsia="Calibri" w:cstheme="minorHAnsi"/>
                <w:sz w:val="20"/>
                <w:szCs w:val="20"/>
              </w:rPr>
              <w:t>. W</w:t>
            </w:r>
            <w:r w:rsidRPr="00FF3F3E">
              <w:rPr>
                <w:rFonts w:eastAsia="Calibri" w:cstheme="minorHAnsi"/>
                <w:b/>
                <w:bCs/>
                <w:sz w:val="20"/>
                <w:szCs w:val="20"/>
              </w:rPr>
              <w:t xml:space="preserve"> </w:t>
            </w:r>
            <w:r w:rsidRPr="00FF3F3E">
              <w:rPr>
                <w:rFonts w:eastAsia="Calibri" w:cstheme="minorHAnsi"/>
                <w:sz w:val="20"/>
                <w:szCs w:val="20"/>
              </w:rPr>
              <w:t>przypadku możliwości należy podać jednostki miar poszczególnych wydatków.</w:t>
            </w:r>
          </w:p>
          <w:p w:rsidR="00BD1AA0" w:rsidRPr="00FF3F3E" w:rsidRDefault="00BD1AA0" w:rsidP="00BD1AA0">
            <w:pPr>
              <w:spacing w:line="12" w:lineRule="exact"/>
              <w:rPr>
                <w:rFonts w:eastAsia="Calibri" w:cstheme="minorHAnsi"/>
                <w:sz w:val="20"/>
                <w:szCs w:val="20"/>
              </w:rPr>
            </w:pPr>
          </w:p>
          <w:p w:rsidR="00BD1AA0" w:rsidRPr="00FF3F3E" w:rsidRDefault="00BD1AA0" w:rsidP="00BD1AA0">
            <w:pPr>
              <w:numPr>
                <w:ilvl w:val="0"/>
                <w:numId w:val="10"/>
              </w:numPr>
              <w:tabs>
                <w:tab w:val="left" w:pos="720"/>
              </w:tabs>
              <w:jc w:val="both"/>
              <w:rPr>
                <w:rFonts w:eastAsia="Calibri" w:cstheme="minorHAnsi"/>
                <w:sz w:val="20"/>
                <w:szCs w:val="20"/>
              </w:rPr>
            </w:pPr>
            <w:r w:rsidRPr="00FF3F3E">
              <w:rPr>
                <w:rFonts w:eastAsia="Calibri" w:cstheme="minorHAnsi"/>
                <w:b/>
                <w:sz w:val="20"/>
                <w:szCs w:val="20"/>
              </w:rPr>
              <w:t>Kryterium ekonomiczne</w:t>
            </w:r>
            <w:r w:rsidRPr="00FF3F3E">
              <w:rPr>
                <w:rFonts w:eastAsia="Calibri" w:cstheme="minorHAnsi"/>
                <w:sz w:val="20"/>
                <w:szCs w:val="20"/>
              </w:rPr>
              <w:t xml:space="preserve"> – opis punktu musi uzasadniać, że:</w:t>
            </w:r>
          </w:p>
          <w:p w:rsidR="00BD1AA0" w:rsidRPr="00FF3F3E" w:rsidRDefault="00BD1AA0" w:rsidP="00BD1AA0">
            <w:pPr>
              <w:spacing w:line="90" w:lineRule="exact"/>
              <w:rPr>
                <w:rFonts w:eastAsia="Calibri" w:cstheme="minorHAnsi"/>
                <w:sz w:val="20"/>
                <w:szCs w:val="20"/>
              </w:rPr>
            </w:pPr>
          </w:p>
          <w:p w:rsidR="00BD1AA0" w:rsidRPr="00FF3F3E" w:rsidRDefault="00BD1AA0" w:rsidP="00BD1AA0">
            <w:pPr>
              <w:numPr>
                <w:ilvl w:val="1"/>
                <w:numId w:val="10"/>
              </w:numPr>
              <w:tabs>
                <w:tab w:val="left" w:pos="567"/>
              </w:tabs>
              <w:spacing w:line="252" w:lineRule="auto"/>
              <w:jc w:val="both"/>
              <w:rPr>
                <w:rFonts w:eastAsia="Calibri" w:cstheme="minorHAnsi"/>
                <w:sz w:val="20"/>
                <w:szCs w:val="20"/>
              </w:rPr>
            </w:pPr>
            <w:r w:rsidRPr="00FF3F3E">
              <w:rPr>
                <w:rFonts w:eastAsia="Calibri" w:cstheme="minorHAnsi"/>
                <w:sz w:val="20"/>
                <w:szCs w:val="20"/>
              </w:rPr>
              <w:t xml:space="preserve">wysokość wydatków jest adekwatna do wdrożenia zaplanowanych działań - </w:t>
            </w:r>
            <w:r w:rsidRPr="00FF3F3E">
              <w:rPr>
                <w:rFonts w:eastAsia="Calibri" w:cstheme="minorHAnsi"/>
                <w:sz w:val="20"/>
                <w:szCs w:val="20"/>
              </w:rPr>
              <w:br/>
              <w:t xml:space="preserve">w szczególności należy podać informacje w zakresie porównania do </w:t>
            </w:r>
            <w:r w:rsidRPr="00FF3F3E">
              <w:rPr>
                <w:rFonts w:eastAsia="Calibri" w:cstheme="minorHAnsi"/>
                <w:sz w:val="20"/>
                <w:szCs w:val="20"/>
              </w:rPr>
              <w:lastRenderedPageBreak/>
              <w:t>innych rozwiązań istniejących na rynku w odniesieniu do poziomu cen, jakości i wydajności;</w:t>
            </w:r>
          </w:p>
          <w:p w:rsidR="00BD1AA0" w:rsidRPr="00FF3F3E" w:rsidRDefault="00BD1AA0" w:rsidP="00BD1AA0">
            <w:pPr>
              <w:tabs>
                <w:tab w:val="left" w:pos="567"/>
              </w:tabs>
              <w:spacing w:line="28" w:lineRule="exact"/>
              <w:rPr>
                <w:rFonts w:eastAsia="Calibri" w:cstheme="minorHAnsi"/>
                <w:sz w:val="20"/>
                <w:szCs w:val="20"/>
              </w:rPr>
            </w:pPr>
          </w:p>
          <w:p w:rsidR="00BD1AA0" w:rsidRPr="00FF3F3E" w:rsidRDefault="00BD1AA0" w:rsidP="00BD1AA0">
            <w:pPr>
              <w:numPr>
                <w:ilvl w:val="1"/>
                <w:numId w:val="10"/>
              </w:numPr>
              <w:tabs>
                <w:tab w:val="left" w:pos="567"/>
              </w:tabs>
              <w:jc w:val="both"/>
              <w:rPr>
                <w:rFonts w:eastAsia="Calibri" w:cstheme="minorHAnsi"/>
                <w:sz w:val="20"/>
                <w:szCs w:val="20"/>
              </w:rPr>
            </w:pPr>
            <w:r w:rsidRPr="00FF3F3E">
              <w:rPr>
                <w:rFonts w:eastAsia="Calibri" w:cstheme="minorHAnsi"/>
                <w:sz w:val="20"/>
                <w:szCs w:val="20"/>
              </w:rPr>
              <w:t>wydatek jest konieczny do osiągnięcia celów projektu.</w:t>
            </w:r>
          </w:p>
          <w:p w:rsidR="00BD1AA0" w:rsidRPr="00FF3F3E" w:rsidRDefault="00BD1AA0" w:rsidP="00BD1AA0">
            <w:pPr>
              <w:pStyle w:val="ListParagraph"/>
              <w:rPr>
                <w:rFonts w:eastAsia="Calibri" w:cstheme="minorHAnsi"/>
                <w:sz w:val="20"/>
                <w:szCs w:val="20"/>
              </w:rPr>
            </w:pPr>
          </w:p>
          <w:p w:rsidR="00BD1AA0" w:rsidRPr="00FF3F3E" w:rsidRDefault="00BD1AA0" w:rsidP="00BD1AA0">
            <w:pPr>
              <w:tabs>
                <w:tab w:val="left" w:pos="1134"/>
              </w:tabs>
              <w:jc w:val="both"/>
              <w:rPr>
                <w:rFonts w:eastAsia="Calibri" w:cstheme="minorHAnsi"/>
                <w:sz w:val="20"/>
                <w:szCs w:val="20"/>
              </w:rPr>
            </w:pPr>
            <w:r w:rsidRPr="00FF3F3E">
              <w:rPr>
                <w:rFonts w:eastAsia="Calibri" w:cstheme="minorHAnsi"/>
                <w:sz w:val="20"/>
                <w:szCs w:val="20"/>
              </w:rPr>
              <w:t>Ponadto uzasadnienie ekonomiczne musi zawierać metodologię wyliczenia poszczególnego wydatku dostosowaną do rodzaju wydatku (np. ilość i cena jednostkowa określonych środków trwałych, materiałów promocyjnych; liczba miesięcy, wielkość zaangażowania, elementy składowe wynagrodzenia itp).</w:t>
            </w:r>
          </w:p>
          <w:p w:rsidR="00BD1AA0" w:rsidRPr="00FF3F3E" w:rsidRDefault="00BD1AA0" w:rsidP="00BD1AA0">
            <w:pPr>
              <w:tabs>
                <w:tab w:val="left" w:pos="567"/>
              </w:tabs>
              <w:jc w:val="both"/>
              <w:rPr>
                <w:rFonts w:eastAsia="Calibri" w:cstheme="minorHAnsi"/>
                <w:sz w:val="20"/>
                <w:szCs w:val="20"/>
              </w:rPr>
            </w:pPr>
          </w:p>
          <w:p w:rsidR="00BD1AA0" w:rsidRPr="00FF3F3E" w:rsidRDefault="00BD1AA0" w:rsidP="00BD1AA0">
            <w:pPr>
              <w:spacing w:line="90" w:lineRule="exact"/>
              <w:rPr>
                <w:rFonts w:eastAsia="Calibri" w:cstheme="minorHAnsi"/>
                <w:sz w:val="20"/>
                <w:szCs w:val="20"/>
              </w:rPr>
            </w:pPr>
          </w:p>
          <w:p w:rsidR="00BD1AA0" w:rsidRPr="00FF3F3E" w:rsidRDefault="00BD1AA0" w:rsidP="00BD1AA0">
            <w:pPr>
              <w:numPr>
                <w:ilvl w:val="0"/>
                <w:numId w:val="10"/>
              </w:numPr>
              <w:tabs>
                <w:tab w:val="left" w:pos="720"/>
              </w:tabs>
              <w:spacing w:line="252" w:lineRule="auto"/>
              <w:jc w:val="both"/>
              <w:rPr>
                <w:rFonts w:eastAsia="Calibri" w:cstheme="minorHAnsi"/>
                <w:sz w:val="20"/>
                <w:szCs w:val="20"/>
              </w:rPr>
            </w:pPr>
            <w:r w:rsidRPr="00FF3F3E">
              <w:rPr>
                <w:rFonts w:eastAsia="Calibri" w:cstheme="minorHAnsi"/>
                <w:b/>
                <w:sz w:val="20"/>
                <w:szCs w:val="20"/>
              </w:rPr>
              <w:t>Kryterium funkcjonalne</w:t>
            </w:r>
            <w:r w:rsidRPr="00FF3F3E">
              <w:rPr>
                <w:rFonts w:eastAsia="Calibri" w:cstheme="minorHAnsi"/>
                <w:sz w:val="20"/>
                <w:szCs w:val="20"/>
              </w:rPr>
              <w:t xml:space="preserve"> – jakie zadania i funkcje ma spełniać dany przedmiot (środek trwały/wartość niematerialna i prawna), objęty dofinansowaniem i w jakim stopniu przyczynia się do realizacji całego projektu.</w:t>
            </w:r>
          </w:p>
          <w:p w:rsidR="00BD1AA0" w:rsidRPr="00FF3F3E" w:rsidRDefault="00BD1AA0" w:rsidP="00BD1AA0">
            <w:pPr>
              <w:spacing w:line="200" w:lineRule="exact"/>
              <w:rPr>
                <w:rFonts w:cstheme="minorHAnsi"/>
                <w:sz w:val="20"/>
                <w:szCs w:val="20"/>
              </w:rPr>
            </w:pPr>
          </w:p>
          <w:p w:rsidR="00BD1AA0" w:rsidRPr="00FF3F3E" w:rsidRDefault="00BD1AA0" w:rsidP="00BD1AA0">
            <w:pPr>
              <w:spacing w:line="304" w:lineRule="exact"/>
              <w:rPr>
                <w:rFonts w:cstheme="minorHAnsi"/>
                <w:sz w:val="20"/>
                <w:szCs w:val="20"/>
              </w:rPr>
            </w:pPr>
          </w:p>
          <w:p w:rsidR="00BD1AA0" w:rsidRPr="00FF3F3E" w:rsidRDefault="00BD1AA0" w:rsidP="00BD1AA0">
            <w:pPr>
              <w:spacing w:line="266" w:lineRule="auto"/>
              <w:jc w:val="both"/>
              <w:rPr>
                <w:rFonts w:cstheme="minorHAnsi"/>
                <w:sz w:val="20"/>
                <w:szCs w:val="20"/>
              </w:rPr>
            </w:pPr>
            <w:r w:rsidRPr="00FF3F3E">
              <w:rPr>
                <w:rFonts w:eastAsia="Calibri" w:cstheme="minorHAnsi"/>
                <w:sz w:val="20"/>
                <w:szCs w:val="20"/>
              </w:rPr>
              <w:t>Opis kryteriów musi precyzyjnie odwoływać się do aspektu ekonomicznego jak i technicznego. Opis nie może odwoływać się do ogólnych sformułowań, np. „urządzenie charakteryzuje się wysokimi parametrami technicznymi”, „urządzenie należy do światowej czołówki w danej klasie”, czy „z uwagi na znajomość rynku określono cenę”. Opis nie może być jedynie deklaracją spełniania przez wydatek kryteriów (technicznych, ekonomicznych, funkcjonalnych) ale zawierać mierzalne dane oraz umożliwiać weryfikowalność przedstawionych założeń, a w szczególności wysokości cen.</w:t>
            </w:r>
          </w:p>
          <w:p w:rsidR="00BD1AA0" w:rsidRPr="00FF3F3E" w:rsidRDefault="00BD1AA0" w:rsidP="00BD1AA0">
            <w:pPr>
              <w:spacing w:line="200" w:lineRule="exact"/>
              <w:rPr>
                <w:rFonts w:cstheme="minorHAnsi"/>
                <w:sz w:val="20"/>
                <w:szCs w:val="20"/>
              </w:rPr>
            </w:pPr>
          </w:p>
          <w:p w:rsidR="00BD1AA0" w:rsidRPr="00FF3F3E" w:rsidRDefault="00BD1AA0" w:rsidP="00BD1AA0">
            <w:pPr>
              <w:spacing w:line="266" w:lineRule="auto"/>
              <w:jc w:val="both"/>
              <w:rPr>
                <w:rFonts w:eastAsia="Calibri" w:cstheme="minorHAnsi"/>
                <w:sz w:val="20"/>
                <w:szCs w:val="20"/>
              </w:rPr>
            </w:pPr>
            <w:r w:rsidRPr="00FF3F3E">
              <w:rPr>
                <w:rFonts w:eastAsia="Calibri" w:cstheme="minorHAnsi"/>
                <w:sz w:val="20"/>
                <w:szCs w:val="20"/>
              </w:rPr>
              <w:t xml:space="preserve">Liczba środków trwałych/kompletów/zestawów (dotyczy tylko i wyłącznie następujących kategorii wydatków: „Środki trwałe” oraz „Wartości niematerialne i prawne”: należy wpisać zgodą ze stanem faktycznym i treścią uzasadnienia ilość nabytych środków trwałych, kompletów lub zestawów. </w:t>
            </w:r>
          </w:p>
          <w:p w:rsidR="00BD1AA0" w:rsidRPr="00FF3F3E" w:rsidRDefault="00BD1AA0" w:rsidP="00BD1AA0">
            <w:pPr>
              <w:spacing w:line="259" w:lineRule="auto"/>
              <w:ind w:right="20"/>
              <w:jc w:val="both"/>
              <w:rPr>
                <w:rFonts w:eastAsia="Calibri" w:cstheme="minorHAnsi"/>
                <w:sz w:val="20"/>
                <w:szCs w:val="20"/>
              </w:rPr>
            </w:pPr>
          </w:p>
          <w:p w:rsidR="00BD1AA0" w:rsidRPr="00FF3F3E" w:rsidRDefault="00BD1AA0" w:rsidP="00BD1AA0">
            <w:pPr>
              <w:spacing w:line="259" w:lineRule="auto"/>
              <w:ind w:right="20"/>
              <w:jc w:val="both"/>
              <w:rPr>
                <w:rFonts w:cstheme="minorHAnsi"/>
                <w:sz w:val="20"/>
                <w:szCs w:val="20"/>
              </w:rPr>
            </w:pPr>
            <w:r w:rsidRPr="00FF3F3E">
              <w:rPr>
                <w:rFonts w:eastAsia="Calibri" w:cstheme="minorHAnsi"/>
                <w:sz w:val="20"/>
                <w:szCs w:val="20"/>
              </w:rPr>
              <w:t>Brak odpowiednio opisanego uzasadnienia, lakoniczny lub niepełny opis, mogą budzić wątpliwości oceniających projekt. W takim wypadku Wnioskodawca może zostać zobowiązany do złożenia dodatkowych wyjaśnień, bądź może to doprowadzić do uznania wydatku za niekwalifikowalny albo nie związany z celami projektu.</w:t>
            </w:r>
          </w:p>
          <w:p w:rsidR="00BD1AA0" w:rsidRPr="00FF3F3E" w:rsidRDefault="00BD1AA0" w:rsidP="00BD1AA0">
            <w:pPr>
              <w:spacing w:line="235" w:lineRule="auto"/>
              <w:ind w:right="20"/>
              <w:jc w:val="both"/>
              <w:rPr>
                <w:rFonts w:cstheme="minorHAnsi"/>
                <w:b/>
                <w:sz w:val="20"/>
                <w:szCs w:val="20"/>
              </w:rPr>
            </w:pPr>
          </w:p>
          <w:p w:rsidR="00BD1AA0" w:rsidRPr="00FF3F3E" w:rsidRDefault="00BD1AA0" w:rsidP="00BD1AA0">
            <w:pPr>
              <w:spacing w:line="235" w:lineRule="auto"/>
              <w:ind w:right="20"/>
              <w:jc w:val="both"/>
              <w:rPr>
                <w:rFonts w:eastAsia="Calibri" w:cstheme="minorHAnsi"/>
                <w:b/>
                <w:sz w:val="20"/>
                <w:szCs w:val="20"/>
              </w:rPr>
            </w:pPr>
            <w:r w:rsidRPr="00FF3F3E">
              <w:rPr>
                <w:rFonts w:cstheme="minorHAnsi"/>
                <w:b/>
                <w:sz w:val="20"/>
                <w:szCs w:val="20"/>
              </w:rPr>
              <w:t>Uwaga 1!</w:t>
            </w:r>
          </w:p>
          <w:p w:rsidR="00BD1AA0" w:rsidRPr="00FF3F3E" w:rsidRDefault="00BD1AA0" w:rsidP="00BD1AA0">
            <w:pPr>
              <w:spacing w:line="235" w:lineRule="auto"/>
              <w:ind w:right="20"/>
              <w:jc w:val="both"/>
              <w:rPr>
                <w:rFonts w:eastAsia="Calibri" w:cstheme="minorHAnsi"/>
                <w:sz w:val="20"/>
                <w:szCs w:val="20"/>
              </w:rPr>
            </w:pPr>
            <w:r w:rsidRPr="00FF3F3E">
              <w:rPr>
                <w:rFonts w:eastAsia="Calibri" w:cstheme="minorHAnsi"/>
                <w:sz w:val="20"/>
                <w:szCs w:val="20"/>
              </w:rPr>
              <w:t>W wypadku dokonywania zakupów środków używanych należy szczegółowo opisać przesłanki podjęcia takiego wyboru.</w:t>
            </w:r>
          </w:p>
          <w:p w:rsidR="00BD1AA0" w:rsidRPr="00FF3F3E" w:rsidRDefault="00BD1AA0" w:rsidP="00BD1AA0">
            <w:pPr>
              <w:tabs>
                <w:tab w:val="left" w:pos="3290"/>
              </w:tabs>
              <w:rPr>
                <w:rFonts w:cstheme="minorHAnsi"/>
                <w:b/>
                <w:sz w:val="20"/>
                <w:szCs w:val="20"/>
              </w:rPr>
            </w:pPr>
          </w:p>
          <w:p w:rsidR="00BD1AA0" w:rsidRPr="00FF3F3E" w:rsidRDefault="00BD1AA0" w:rsidP="00BD1AA0">
            <w:pPr>
              <w:tabs>
                <w:tab w:val="left" w:pos="3290"/>
              </w:tabs>
              <w:rPr>
                <w:rFonts w:cstheme="minorHAnsi"/>
                <w:b/>
                <w:sz w:val="20"/>
                <w:szCs w:val="20"/>
              </w:rPr>
            </w:pPr>
            <w:r w:rsidRPr="00FF3F3E">
              <w:rPr>
                <w:rFonts w:cstheme="minorHAnsi"/>
                <w:b/>
                <w:sz w:val="20"/>
                <w:szCs w:val="20"/>
              </w:rPr>
              <w:t>Uwaga 2!</w:t>
            </w:r>
          </w:p>
          <w:p w:rsidR="00BD1AA0" w:rsidRPr="00FF3F3E" w:rsidRDefault="00BD1AA0" w:rsidP="00BD1AA0">
            <w:pPr>
              <w:tabs>
                <w:tab w:val="left" w:pos="3290"/>
              </w:tabs>
              <w:jc w:val="both"/>
              <w:rPr>
                <w:rFonts w:cstheme="minorHAnsi"/>
                <w:sz w:val="20"/>
                <w:szCs w:val="20"/>
              </w:rPr>
            </w:pPr>
            <w:r w:rsidRPr="00FF3F3E">
              <w:rPr>
                <w:rFonts w:cstheme="minorHAnsi"/>
                <w:sz w:val="20"/>
                <w:szCs w:val="20"/>
              </w:rPr>
              <w:t>- przy określaniu wydatków kwalifikowalnych należy pamiętać, że przez podwójne finansowanie należy rozumieć m.in. zakupienie środka trwałego z udziałem środków unijnych, a następnie zaliczenie odpisów amortyzacyjnych od pełnej wartości środka trwałego do kosztów uzyskania przychodów, bez pomniejszenia wartości środka trwałego o otrzymane dofinansowanie. Mając powyższe na uwadze konieczne jest pomniejszenie wartości środka trwałego o wartość otrzymanego dofinansowania dla celów obliczenia odpisów amortyzacyjnych stanowiących koszt uzyskania przychodów, albo odpowiednie pomniejszenie wydatków kwalifikowalnych;</w:t>
            </w:r>
          </w:p>
          <w:p w:rsidR="00BD1AA0" w:rsidRPr="00FF3F3E" w:rsidRDefault="00BD1AA0" w:rsidP="00BD1AA0">
            <w:pPr>
              <w:tabs>
                <w:tab w:val="left" w:pos="3290"/>
              </w:tabs>
              <w:jc w:val="both"/>
              <w:rPr>
                <w:rFonts w:cstheme="minorHAnsi"/>
                <w:sz w:val="20"/>
                <w:szCs w:val="20"/>
              </w:rPr>
            </w:pPr>
            <w:r w:rsidRPr="00FF3F3E">
              <w:rPr>
                <w:rFonts w:cstheme="minorHAnsi"/>
                <w:sz w:val="20"/>
                <w:szCs w:val="20"/>
              </w:rPr>
              <w:t xml:space="preserve">-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2019 r. </w:t>
            </w:r>
            <w:r w:rsidRPr="00FF3F3E">
              <w:rPr>
                <w:rFonts w:cstheme="minorHAnsi"/>
                <w:sz w:val="20"/>
                <w:szCs w:val="20"/>
              </w:rPr>
              <w:lastRenderedPageBreak/>
              <w:t xml:space="preserve">poz. 865  ze zm.) oraz art. 22k ust. 7 ustawy </w:t>
            </w:r>
            <w:r w:rsidRPr="00FF3F3E">
              <w:rPr>
                <w:rFonts w:cstheme="minorHAnsi"/>
                <w:sz w:val="20"/>
                <w:szCs w:val="20"/>
              </w:rPr>
              <w:br/>
              <w:t>o podatku dochodowym od osób fizycznych (Dz. U. z 2019 r. poz. 1387 , ze zm.) stanowi pomoc de minimis i powinno zostać uwzględnione w ramach oceny dopuszczalności udzielenia dofinansowania w formie pomocy de minimis. W zawiązku z powyższym jednorazowe odpisy amortyzacyjne należy uwzględnić w oświadczeniach o wielkości pomocy de minimis, którą podmiot ubiegający się o otrzymanie pomocy de minimis otrzymał w roku, w którym ubiega się o pomoc, oraz w ciągu 2 poprzedzających go lat.</w:t>
            </w:r>
          </w:p>
          <w:p w:rsidR="00BD1AA0" w:rsidRPr="00FF3F3E" w:rsidRDefault="00BD1AA0" w:rsidP="00BD1AA0">
            <w:pPr>
              <w:spacing w:line="235" w:lineRule="auto"/>
              <w:ind w:right="20"/>
              <w:jc w:val="both"/>
              <w:rPr>
                <w:rFonts w:cstheme="minorHAnsi"/>
                <w:sz w:val="20"/>
                <w:szCs w:val="20"/>
              </w:rPr>
            </w:pPr>
          </w:p>
          <w:p w:rsidR="00BD1AA0" w:rsidRPr="00FF3F3E" w:rsidRDefault="00BD1AA0" w:rsidP="00BD1AA0">
            <w:pPr>
              <w:spacing w:line="235" w:lineRule="auto"/>
              <w:ind w:right="20"/>
              <w:jc w:val="both"/>
              <w:rPr>
                <w:rFonts w:cstheme="minorHAnsi"/>
                <w:b/>
                <w:sz w:val="20"/>
                <w:szCs w:val="20"/>
              </w:rPr>
            </w:pPr>
            <w:r w:rsidRPr="00FF3F3E">
              <w:rPr>
                <w:rFonts w:cstheme="minorHAnsi"/>
                <w:b/>
                <w:sz w:val="20"/>
                <w:szCs w:val="20"/>
              </w:rPr>
              <w:t>Uwaga 3!</w:t>
            </w:r>
          </w:p>
          <w:p w:rsidR="00BD1AA0" w:rsidRPr="00FF3F3E" w:rsidRDefault="00BD1AA0" w:rsidP="00BD1AA0">
            <w:pPr>
              <w:autoSpaceDE w:val="0"/>
              <w:autoSpaceDN w:val="0"/>
              <w:adjustRightInd w:val="0"/>
              <w:spacing w:line="276" w:lineRule="auto"/>
              <w:jc w:val="both"/>
              <w:rPr>
                <w:rFonts w:cstheme="minorHAnsi"/>
                <w:sz w:val="20"/>
                <w:szCs w:val="20"/>
              </w:rPr>
            </w:pPr>
            <w:r w:rsidRPr="00FF3F3E">
              <w:rPr>
                <w:rFonts w:cstheme="minorHAnsi"/>
                <w:sz w:val="20"/>
                <w:szCs w:val="20"/>
              </w:rPr>
              <w:t>Komisja Oceny Projektu (zwana dalej KOP) na etapie oceny merytorycznej może rekomendować korektę kosztów kwalifikowalnych poszczególnych projektów do wysokości 10% ich łącznej wartości i</w:t>
            </w:r>
          </w:p>
          <w:p w:rsidR="00BD1AA0" w:rsidRPr="00FF3F3E" w:rsidRDefault="00BD1AA0" w:rsidP="00BD1AA0">
            <w:pPr>
              <w:autoSpaceDE w:val="0"/>
              <w:autoSpaceDN w:val="0"/>
              <w:adjustRightInd w:val="0"/>
              <w:spacing w:line="276" w:lineRule="auto"/>
              <w:jc w:val="both"/>
              <w:rPr>
                <w:rFonts w:cstheme="minorHAnsi"/>
                <w:sz w:val="20"/>
                <w:szCs w:val="20"/>
              </w:rPr>
            </w:pPr>
            <w:r w:rsidRPr="00FF3F3E">
              <w:rPr>
                <w:rFonts w:cstheme="minorHAnsi"/>
                <w:sz w:val="20"/>
                <w:szCs w:val="20"/>
              </w:rPr>
              <w:t>dopiero pod tym warunkiem uznać kryterium „Zasadności i adekwatność wydatków” za spełnione.</w:t>
            </w:r>
          </w:p>
          <w:p w:rsidR="00BD1AA0" w:rsidRPr="00FF3F3E" w:rsidRDefault="00BD1AA0" w:rsidP="00BD1AA0">
            <w:pPr>
              <w:jc w:val="both"/>
              <w:rPr>
                <w:rFonts w:cstheme="minorHAnsi"/>
                <w:sz w:val="20"/>
                <w:szCs w:val="20"/>
              </w:rPr>
            </w:pPr>
            <w:r w:rsidRPr="00FF3F3E">
              <w:rPr>
                <w:rFonts w:cstheme="minorHAnsi"/>
                <w:sz w:val="20"/>
                <w:szCs w:val="20"/>
              </w:rPr>
              <w:t>Rekomendacja korekty kosztów kwalifikowalnych do wysokości 10% oznacza sytuację, w której członkowie KOP uznają, że określony wydatek nie jest wydatkiem koniecznym do osiągnięcia celów projektu, lub jego wysokość nie jest adekwatna do zaplanowanych działań. Obniżenie wartości kosztów kwalifikowalnych do 10% nie podlega negocjacjom.</w:t>
            </w:r>
          </w:p>
        </w:tc>
        <w:tc>
          <w:tcPr>
            <w:tcW w:w="3994" w:type="dxa"/>
            <w:vAlign w:val="center"/>
          </w:tcPr>
          <w:p w:rsidR="0008052E" w:rsidRPr="00FF3F3E" w:rsidRDefault="00761F46" w:rsidP="0008052E">
            <w:pPr>
              <w:jc w:val="both"/>
              <w:rPr>
                <w:rFonts w:cstheme="minorHAnsi"/>
                <w:sz w:val="20"/>
                <w:szCs w:val="20"/>
              </w:rPr>
            </w:pPr>
            <w:r w:rsidRPr="00FF3F3E">
              <w:rPr>
                <w:rFonts w:cstheme="minorHAnsi"/>
                <w:sz w:val="20"/>
                <w:szCs w:val="20"/>
              </w:rPr>
              <w:object w:dxaOrig="3777" w:dyaOrig="1603">
                <v:shape id="_x0000_i1027" type="#_x0000_t75" style="width:187.15pt;height:79.15pt" o:ole="">
                  <v:imagedata r:id="rId18" o:title=""/>
                </v:shape>
                <o:OLEObject Type="Embed" ProgID="PBrush" ShapeID="_x0000_i1027" DrawAspect="Content" ObjectID="_1650882288" r:id="rId19"/>
              </w:object>
            </w:r>
          </w:p>
        </w:tc>
      </w:tr>
      <w:tr w:rsidR="0008052E" w:rsidRPr="00FF3F3E" w:rsidTr="00BD1AA0">
        <w:trPr>
          <w:trHeight w:val="1839"/>
        </w:trPr>
        <w:tc>
          <w:tcPr>
            <w:tcW w:w="6232" w:type="dxa"/>
            <w:vAlign w:val="center"/>
          </w:tcPr>
          <w:p w:rsidR="0008052E" w:rsidRPr="00FF3F3E" w:rsidRDefault="00761F46" w:rsidP="0008052E">
            <w:pPr>
              <w:jc w:val="both"/>
              <w:rPr>
                <w:rFonts w:cstheme="minorHAnsi"/>
                <w:sz w:val="20"/>
                <w:szCs w:val="20"/>
              </w:rPr>
            </w:pPr>
            <w:r w:rsidRPr="00FF3F3E">
              <w:rPr>
                <w:rFonts w:cstheme="minorHAnsi"/>
                <w:sz w:val="20"/>
                <w:szCs w:val="20"/>
              </w:rPr>
              <w:lastRenderedPageBreak/>
              <w:t xml:space="preserve">Pola „R. Harmonogram rzeczowo – finansowy” – należy wypełnić okres w jakim będzie ponoszony wydatek – rozpoczęcie i zakończenie - kwartał i rok </w:t>
            </w:r>
          </w:p>
        </w:tc>
        <w:tc>
          <w:tcPr>
            <w:tcW w:w="3994" w:type="dxa"/>
            <w:vAlign w:val="center"/>
          </w:tcPr>
          <w:p w:rsidR="0008052E" w:rsidRPr="00FF3F3E" w:rsidRDefault="00761F46" w:rsidP="0008052E">
            <w:pPr>
              <w:jc w:val="both"/>
              <w:rPr>
                <w:rFonts w:cstheme="minorHAnsi"/>
                <w:sz w:val="20"/>
                <w:szCs w:val="20"/>
              </w:rPr>
            </w:pPr>
            <w:r w:rsidRPr="00FF3F3E">
              <w:rPr>
                <w:rFonts w:cstheme="minorHAnsi"/>
                <w:sz w:val="20"/>
                <w:szCs w:val="20"/>
              </w:rPr>
              <w:object w:dxaOrig="2106" w:dyaOrig="1535">
                <v:shape id="_x0000_i1028" type="#_x0000_t75" style="width:108pt;height:79.15pt" o:ole="">
                  <v:imagedata r:id="rId20" o:title=""/>
                </v:shape>
                <o:OLEObject Type="Embed" ProgID="PBrush" ShapeID="_x0000_i1028" DrawAspect="Content" ObjectID="_1650882289" r:id="rId21"/>
              </w:object>
            </w:r>
          </w:p>
        </w:tc>
      </w:tr>
    </w:tbl>
    <w:p w:rsidR="0008052E" w:rsidRPr="00FF3F3E" w:rsidRDefault="0008052E" w:rsidP="0008052E">
      <w:pPr>
        <w:spacing w:after="0" w:line="240" w:lineRule="auto"/>
        <w:jc w:val="both"/>
        <w:rPr>
          <w:rFonts w:cstheme="minorHAnsi"/>
          <w:sz w:val="20"/>
          <w:szCs w:val="20"/>
        </w:rPr>
      </w:pPr>
    </w:p>
    <w:p w:rsidR="004272D9" w:rsidRPr="00FF3F3E" w:rsidRDefault="004272D9" w:rsidP="0008052E">
      <w:pPr>
        <w:spacing w:after="0" w:line="240" w:lineRule="auto"/>
        <w:jc w:val="both"/>
        <w:rPr>
          <w:rFonts w:cstheme="minorHAnsi"/>
          <w:sz w:val="20"/>
          <w:szCs w:val="20"/>
        </w:rPr>
      </w:pPr>
      <w:r w:rsidRPr="00FF3F3E">
        <w:rPr>
          <w:rFonts w:cstheme="minorHAnsi"/>
          <w:sz w:val="20"/>
          <w:szCs w:val="20"/>
        </w:rPr>
        <w:t>UWAGA: W ramach projektu możliwe jest otrzymanie dofinansowania zgodnie z:</w:t>
      </w:r>
    </w:p>
    <w:p w:rsidR="004272D9" w:rsidRPr="00FF3F3E" w:rsidRDefault="004272D9" w:rsidP="004272D9">
      <w:pPr>
        <w:pStyle w:val="ListParagraph"/>
        <w:numPr>
          <w:ilvl w:val="0"/>
          <w:numId w:val="7"/>
        </w:numPr>
        <w:spacing w:after="0" w:line="240" w:lineRule="auto"/>
        <w:jc w:val="both"/>
        <w:rPr>
          <w:rFonts w:cstheme="minorHAnsi"/>
          <w:sz w:val="20"/>
          <w:szCs w:val="20"/>
        </w:rPr>
      </w:pPr>
      <w:r w:rsidRPr="00FF3F3E">
        <w:rPr>
          <w:rFonts w:cstheme="minorHAnsi"/>
          <w:sz w:val="20"/>
          <w:szCs w:val="20"/>
        </w:rPr>
        <w:t>Pomocą publiczną zgodnie z:</w:t>
      </w:r>
    </w:p>
    <w:p w:rsidR="004272D9" w:rsidRPr="00FF3F3E" w:rsidRDefault="004272D9" w:rsidP="004272D9">
      <w:pPr>
        <w:pStyle w:val="ListParagraph"/>
        <w:numPr>
          <w:ilvl w:val="2"/>
          <w:numId w:val="8"/>
        </w:numPr>
        <w:spacing w:after="0" w:line="240" w:lineRule="auto"/>
        <w:jc w:val="both"/>
        <w:rPr>
          <w:rFonts w:cstheme="minorHAnsi"/>
          <w:sz w:val="20"/>
          <w:szCs w:val="20"/>
        </w:rPr>
      </w:pPr>
      <w:r w:rsidRPr="00FF3F3E">
        <w:rPr>
          <w:rFonts w:cstheme="minorHAnsi"/>
          <w:sz w:val="20"/>
          <w:szCs w:val="20"/>
        </w:rPr>
        <w:t>Art. 48 GBER (z uwzględnieniem zysku operacyjnego)</w:t>
      </w:r>
    </w:p>
    <w:p w:rsidR="004272D9" w:rsidRPr="0081182C" w:rsidRDefault="004272D9" w:rsidP="004272D9">
      <w:pPr>
        <w:pStyle w:val="ListParagraph"/>
        <w:numPr>
          <w:ilvl w:val="2"/>
          <w:numId w:val="8"/>
        </w:numPr>
        <w:spacing w:after="0" w:line="240" w:lineRule="auto"/>
        <w:jc w:val="both"/>
        <w:rPr>
          <w:rFonts w:cstheme="minorHAnsi"/>
          <w:sz w:val="20"/>
          <w:szCs w:val="20"/>
          <w:lang w:val="en-US"/>
        </w:rPr>
      </w:pPr>
      <w:bookmarkStart w:id="2" w:name="_Hlk39672586"/>
      <w:r w:rsidRPr="0081182C">
        <w:rPr>
          <w:rFonts w:cstheme="minorHAnsi"/>
          <w:sz w:val="20"/>
          <w:szCs w:val="20"/>
          <w:lang w:val="en-US"/>
        </w:rPr>
        <w:t xml:space="preserve">Art. 41 GBER </w:t>
      </w:r>
      <w:proofErr w:type="spellStart"/>
      <w:r w:rsidR="0081182C" w:rsidRPr="0081182C">
        <w:rPr>
          <w:rFonts w:cstheme="minorHAnsi"/>
          <w:sz w:val="20"/>
          <w:szCs w:val="20"/>
          <w:lang w:val="en-US"/>
        </w:rPr>
        <w:t>ust</w:t>
      </w:r>
      <w:proofErr w:type="spellEnd"/>
      <w:r w:rsidR="0081182C" w:rsidRPr="0081182C">
        <w:rPr>
          <w:rFonts w:cstheme="minorHAnsi"/>
          <w:sz w:val="20"/>
          <w:szCs w:val="20"/>
          <w:lang w:val="en-US"/>
        </w:rPr>
        <w:t xml:space="preserve">. 6 </w:t>
      </w:r>
      <w:r w:rsidRPr="0081182C">
        <w:rPr>
          <w:rFonts w:cstheme="minorHAnsi"/>
          <w:sz w:val="20"/>
          <w:szCs w:val="20"/>
          <w:lang w:val="en-US"/>
        </w:rPr>
        <w:t>Lit. A</w:t>
      </w:r>
      <w:bookmarkEnd w:id="2"/>
      <w:r w:rsidRPr="0081182C">
        <w:rPr>
          <w:rFonts w:cstheme="minorHAnsi"/>
          <w:sz w:val="20"/>
          <w:szCs w:val="20"/>
          <w:lang w:val="en-US"/>
        </w:rPr>
        <w:t xml:space="preserve"> </w:t>
      </w:r>
    </w:p>
    <w:p w:rsidR="004272D9" w:rsidRPr="00FF3F3E" w:rsidRDefault="004272D9" w:rsidP="004272D9">
      <w:pPr>
        <w:pStyle w:val="ListParagraph"/>
        <w:numPr>
          <w:ilvl w:val="2"/>
          <w:numId w:val="8"/>
        </w:numPr>
        <w:spacing w:after="0" w:line="240" w:lineRule="auto"/>
        <w:jc w:val="both"/>
        <w:rPr>
          <w:rFonts w:cstheme="minorHAnsi"/>
          <w:sz w:val="20"/>
          <w:szCs w:val="20"/>
        </w:rPr>
      </w:pPr>
      <w:bookmarkStart w:id="3" w:name="_Hlk39672604"/>
      <w:r w:rsidRPr="00FF3F3E">
        <w:rPr>
          <w:rFonts w:cstheme="minorHAnsi"/>
          <w:sz w:val="20"/>
          <w:szCs w:val="20"/>
        </w:rPr>
        <w:t xml:space="preserve">Art. 41 GBER </w:t>
      </w:r>
      <w:r w:rsidR="0081182C" w:rsidRPr="00506387">
        <w:rPr>
          <w:rFonts w:cstheme="minorHAnsi"/>
          <w:sz w:val="20"/>
          <w:szCs w:val="20"/>
        </w:rPr>
        <w:t xml:space="preserve">ust. 6 </w:t>
      </w:r>
      <w:r w:rsidRPr="00FF3F3E">
        <w:rPr>
          <w:rFonts w:cstheme="minorHAnsi"/>
          <w:sz w:val="20"/>
          <w:szCs w:val="20"/>
        </w:rPr>
        <w:t>Lit. B</w:t>
      </w:r>
      <w:bookmarkEnd w:id="3"/>
      <w:r w:rsidRPr="00FF3F3E">
        <w:rPr>
          <w:rFonts w:cstheme="minorHAnsi"/>
          <w:sz w:val="20"/>
          <w:szCs w:val="20"/>
        </w:rPr>
        <w:t xml:space="preserve"> (z uwzględnieniem inwestycji referencyjnej) </w:t>
      </w:r>
    </w:p>
    <w:p w:rsidR="004272D9" w:rsidRPr="0081182C" w:rsidRDefault="004272D9" w:rsidP="004272D9">
      <w:pPr>
        <w:pStyle w:val="ListParagraph"/>
        <w:numPr>
          <w:ilvl w:val="2"/>
          <w:numId w:val="8"/>
        </w:numPr>
        <w:spacing w:after="0" w:line="240" w:lineRule="auto"/>
        <w:jc w:val="both"/>
        <w:rPr>
          <w:rFonts w:cstheme="minorHAnsi"/>
          <w:sz w:val="20"/>
          <w:szCs w:val="20"/>
          <w:lang w:val="en-US"/>
        </w:rPr>
      </w:pPr>
      <w:r w:rsidRPr="0081182C">
        <w:rPr>
          <w:rFonts w:cstheme="minorHAnsi"/>
          <w:sz w:val="20"/>
          <w:szCs w:val="20"/>
          <w:lang w:val="en-US"/>
        </w:rPr>
        <w:t xml:space="preserve">Art. 41 GBER </w:t>
      </w:r>
      <w:proofErr w:type="spellStart"/>
      <w:r w:rsidR="0081182C" w:rsidRPr="0081182C">
        <w:rPr>
          <w:rFonts w:cstheme="minorHAnsi"/>
          <w:sz w:val="20"/>
          <w:szCs w:val="20"/>
          <w:lang w:val="en-US"/>
        </w:rPr>
        <w:t>ust</w:t>
      </w:r>
      <w:proofErr w:type="spellEnd"/>
      <w:r w:rsidR="0081182C" w:rsidRPr="0081182C">
        <w:rPr>
          <w:rFonts w:cstheme="minorHAnsi"/>
          <w:sz w:val="20"/>
          <w:szCs w:val="20"/>
          <w:lang w:val="en-US"/>
        </w:rPr>
        <w:t xml:space="preserve">. 6 </w:t>
      </w:r>
      <w:r w:rsidRPr="0081182C">
        <w:rPr>
          <w:rFonts w:cstheme="minorHAnsi"/>
          <w:sz w:val="20"/>
          <w:szCs w:val="20"/>
          <w:lang w:val="en-US"/>
        </w:rPr>
        <w:t>Lit. C</w:t>
      </w:r>
    </w:p>
    <w:p w:rsidR="004272D9" w:rsidRPr="00FF3F3E" w:rsidRDefault="004272D9" w:rsidP="004272D9">
      <w:pPr>
        <w:pStyle w:val="ListParagraph"/>
        <w:numPr>
          <w:ilvl w:val="0"/>
          <w:numId w:val="7"/>
        </w:numPr>
        <w:spacing w:after="0" w:line="240" w:lineRule="auto"/>
        <w:jc w:val="both"/>
        <w:rPr>
          <w:rFonts w:cstheme="minorHAnsi"/>
          <w:sz w:val="20"/>
          <w:szCs w:val="20"/>
        </w:rPr>
      </w:pPr>
      <w:r w:rsidRPr="00FF3F3E">
        <w:rPr>
          <w:rFonts w:cstheme="minorHAnsi"/>
          <w:sz w:val="20"/>
          <w:szCs w:val="20"/>
        </w:rPr>
        <w:t>Pomocą de minimis – maksymalne dofinansowanie 85% (z uwzględnieniem otrzymanej wcześniej pomocy de minimis)</w:t>
      </w:r>
    </w:p>
    <w:p w:rsidR="004272D9" w:rsidRPr="00FF3F3E" w:rsidRDefault="004272D9" w:rsidP="004272D9">
      <w:pPr>
        <w:pStyle w:val="ListParagraph"/>
        <w:numPr>
          <w:ilvl w:val="0"/>
          <w:numId w:val="7"/>
        </w:numPr>
        <w:spacing w:after="0" w:line="240" w:lineRule="auto"/>
        <w:jc w:val="both"/>
        <w:rPr>
          <w:rFonts w:cstheme="minorHAnsi"/>
          <w:sz w:val="20"/>
          <w:szCs w:val="20"/>
        </w:rPr>
      </w:pPr>
      <w:r w:rsidRPr="00FF3F3E">
        <w:rPr>
          <w:rFonts w:cstheme="minorHAnsi"/>
          <w:sz w:val="20"/>
          <w:szCs w:val="20"/>
        </w:rPr>
        <w:t>Bez pomocy – mak</w:t>
      </w:r>
      <w:bookmarkStart w:id="4" w:name="_GoBack"/>
      <w:bookmarkEnd w:id="4"/>
      <w:r w:rsidRPr="00FF3F3E">
        <w:rPr>
          <w:rFonts w:cstheme="minorHAnsi"/>
          <w:sz w:val="20"/>
          <w:szCs w:val="20"/>
        </w:rPr>
        <w:t>symalne dofinansowanie 85%</w:t>
      </w:r>
    </w:p>
    <w:p w:rsidR="004272D9" w:rsidRPr="00FF3F3E" w:rsidRDefault="004272D9" w:rsidP="0008052E">
      <w:pPr>
        <w:spacing w:after="0" w:line="240" w:lineRule="auto"/>
        <w:jc w:val="both"/>
        <w:rPr>
          <w:rFonts w:cstheme="minorHAnsi"/>
          <w:sz w:val="20"/>
          <w:szCs w:val="20"/>
        </w:rPr>
      </w:pPr>
    </w:p>
    <w:p w:rsidR="004272D9" w:rsidRPr="00FF3F3E" w:rsidRDefault="004272D9" w:rsidP="004272D9">
      <w:pPr>
        <w:spacing w:after="0" w:line="240" w:lineRule="auto"/>
        <w:jc w:val="both"/>
        <w:rPr>
          <w:rFonts w:cstheme="minorHAnsi"/>
          <w:sz w:val="20"/>
          <w:szCs w:val="20"/>
        </w:rPr>
      </w:pPr>
      <w:r w:rsidRPr="00FF3F3E">
        <w:rPr>
          <w:rFonts w:eastAsia="Calibri" w:cstheme="minorHAnsi"/>
          <w:bCs/>
          <w:sz w:val="20"/>
          <w:szCs w:val="20"/>
        </w:rPr>
        <w:t xml:space="preserve">W przypadku, wydatków objętych </w:t>
      </w:r>
      <w:r w:rsidRPr="00FF3F3E">
        <w:rPr>
          <w:rFonts w:eastAsia="Calibri" w:cstheme="minorHAnsi"/>
          <w:b/>
          <w:sz w:val="20"/>
          <w:szCs w:val="20"/>
        </w:rPr>
        <w:t>pomocą publiczną</w:t>
      </w:r>
      <w:r w:rsidRPr="00FF3F3E">
        <w:rPr>
          <w:rFonts w:eastAsia="Calibri" w:cstheme="minorHAnsi"/>
          <w:bCs/>
          <w:sz w:val="20"/>
          <w:szCs w:val="20"/>
        </w:rPr>
        <w:t xml:space="preserve"> na podstawie </w:t>
      </w:r>
      <w:r w:rsidRPr="00FF3F3E">
        <w:rPr>
          <w:rFonts w:eastAsia="Calibri" w:cstheme="minorHAnsi"/>
          <w:b/>
          <w:sz w:val="20"/>
          <w:szCs w:val="20"/>
        </w:rPr>
        <w:t>art. 41 GBER</w:t>
      </w:r>
      <w:r w:rsidR="0081182C" w:rsidRPr="0081182C">
        <w:rPr>
          <w:rFonts w:eastAsia="Calibri" w:cstheme="minorHAnsi"/>
          <w:b/>
          <w:sz w:val="20"/>
          <w:szCs w:val="20"/>
        </w:rPr>
        <w:t xml:space="preserve"> </w:t>
      </w:r>
      <w:r w:rsidR="0081182C">
        <w:rPr>
          <w:rFonts w:eastAsia="Calibri" w:cstheme="minorHAnsi"/>
          <w:b/>
          <w:sz w:val="20"/>
          <w:szCs w:val="20"/>
        </w:rPr>
        <w:t>ust. 6</w:t>
      </w:r>
      <w:r w:rsidRPr="00FF3F3E">
        <w:rPr>
          <w:rFonts w:eastAsia="Calibri" w:cstheme="minorHAnsi"/>
          <w:bCs/>
          <w:sz w:val="20"/>
          <w:szCs w:val="20"/>
        </w:rPr>
        <w:t>, za koszty kwalifikowalne uznaje się dodatkowe koszty inwestycji niezbędne do propagowania wytwarzania energii ze źródeł odnawialnych</w:t>
      </w:r>
      <w:r w:rsidRPr="00FF3F3E">
        <w:rPr>
          <w:rFonts w:eastAsia="Calibri" w:cstheme="minorHAnsi"/>
          <w:bCs/>
          <w:sz w:val="20"/>
          <w:szCs w:val="20"/>
          <w:u w:val="single"/>
        </w:rPr>
        <w:t>. Koszty nie obejmują wydatków, których podstawą udzielenia jest pomoc de minims</w:t>
      </w:r>
      <w:r w:rsidRPr="00FF3F3E">
        <w:rPr>
          <w:rFonts w:eastAsia="Calibri" w:cstheme="minorHAnsi"/>
          <w:bCs/>
          <w:sz w:val="20"/>
          <w:szCs w:val="20"/>
        </w:rPr>
        <w:t xml:space="preserve"> i ustala się je w następujący sposób:</w:t>
      </w:r>
    </w:p>
    <w:p w:rsidR="004272D9" w:rsidRPr="00FF3F3E" w:rsidRDefault="004272D9" w:rsidP="004272D9">
      <w:pPr>
        <w:pStyle w:val="ListParagraph"/>
        <w:numPr>
          <w:ilvl w:val="0"/>
          <w:numId w:val="9"/>
        </w:numPr>
        <w:spacing w:after="0" w:line="276" w:lineRule="auto"/>
        <w:jc w:val="both"/>
        <w:rPr>
          <w:rFonts w:eastAsia="Calibri" w:cstheme="minorHAnsi"/>
          <w:bCs/>
          <w:sz w:val="20"/>
          <w:szCs w:val="20"/>
        </w:rPr>
      </w:pPr>
      <w:r w:rsidRPr="00FF3F3E">
        <w:rPr>
          <w:rFonts w:eastAsia="Calibri" w:cstheme="minorHAnsi"/>
          <w:bCs/>
          <w:sz w:val="20"/>
          <w:szCs w:val="20"/>
        </w:rPr>
        <w:t xml:space="preserve">W przypadku, gdy koszty inwestycji można wyodrębnić z całkowitych kosztów inwestycji jako oddzielną inwestycję (np. jako łatwy do wyodrębnienia dodatkowy element w już istniejącym obiekcie), za koszty kwalifikowalne uznaje się koszty związane z tą inwestycją </w:t>
      </w:r>
      <w:r w:rsidRPr="00FF3F3E">
        <w:rPr>
          <w:rFonts w:eastAsia="Calibri" w:cstheme="minorHAnsi"/>
          <w:b/>
          <w:sz w:val="20"/>
          <w:szCs w:val="20"/>
        </w:rPr>
        <w:t>(</w:t>
      </w:r>
      <w:r w:rsidR="00BD1AA0" w:rsidRPr="00FF3F3E">
        <w:rPr>
          <w:rFonts w:eastAsia="Calibri" w:cstheme="minorHAnsi"/>
          <w:b/>
          <w:sz w:val="20"/>
          <w:szCs w:val="20"/>
          <w:u w:val="single"/>
        </w:rPr>
        <w:t xml:space="preserve">Art. 41 GBER </w:t>
      </w:r>
      <w:r w:rsidR="0081182C">
        <w:rPr>
          <w:rFonts w:eastAsia="Calibri" w:cstheme="minorHAnsi"/>
          <w:b/>
          <w:sz w:val="20"/>
          <w:szCs w:val="20"/>
          <w:u w:val="single"/>
        </w:rPr>
        <w:t xml:space="preserve">ust. 6 </w:t>
      </w:r>
      <w:r w:rsidR="00BD1AA0" w:rsidRPr="00FF3F3E">
        <w:rPr>
          <w:rFonts w:eastAsia="Calibri" w:cstheme="minorHAnsi"/>
          <w:b/>
          <w:sz w:val="20"/>
          <w:szCs w:val="20"/>
          <w:u w:val="single"/>
        </w:rPr>
        <w:t>Lit. A</w:t>
      </w:r>
      <w:r w:rsidRPr="00FF3F3E">
        <w:rPr>
          <w:rFonts w:eastAsia="Calibri" w:cstheme="minorHAnsi"/>
          <w:bCs/>
          <w:sz w:val="20"/>
          <w:szCs w:val="20"/>
        </w:rPr>
        <w:t>), potencjalne koszty = koszty kwalifikowalne.</w:t>
      </w:r>
    </w:p>
    <w:p w:rsidR="004272D9" w:rsidRPr="00FF3F3E" w:rsidRDefault="004272D9" w:rsidP="004272D9">
      <w:pPr>
        <w:pStyle w:val="ListParagraph"/>
        <w:numPr>
          <w:ilvl w:val="0"/>
          <w:numId w:val="9"/>
        </w:numPr>
        <w:spacing w:after="0" w:line="276" w:lineRule="auto"/>
        <w:jc w:val="both"/>
        <w:rPr>
          <w:rFonts w:eastAsia="Calibri" w:cstheme="minorHAnsi"/>
          <w:bCs/>
          <w:sz w:val="20"/>
          <w:szCs w:val="20"/>
        </w:rPr>
      </w:pPr>
      <w:r w:rsidRPr="00FF3F3E">
        <w:rPr>
          <w:rFonts w:eastAsia="Calibri" w:cstheme="minorHAnsi"/>
          <w:bCs/>
          <w:sz w:val="20"/>
          <w:szCs w:val="20"/>
        </w:rPr>
        <w:t>W przypadku, gdy koszty inwestycji określa się poprzez odniesienie do podobnej mniej przyjaznej dla środowiska inwestycji, która prawdopodobnie zostałaby przeprowadzona w przypadku braku pomocy, koszt kwalifikowalny stanowi r</w:t>
      </w:r>
      <w:r w:rsidRPr="00FF3F3E">
        <w:rPr>
          <w:rFonts w:eastAsia="Calibri" w:cstheme="minorHAnsi"/>
          <w:b/>
          <w:bCs/>
          <w:sz w:val="20"/>
          <w:szCs w:val="20"/>
        </w:rPr>
        <w:t xml:space="preserve">óżnica między kosztami obu inwestycji </w:t>
      </w:r>
      <w:r w:rsidRPr="00FF3F3E">
        <w:rPr>
          <w:rFonts w:eastAsia="Calibri" w:cstheme="minorHAnsi"/>
          <w:bCs/>
          <w:sz w:val="20"/>
          <w:szCs w:val="20"/>
        </w:rPr>
        <w:t>(</w:t>
      </w:r>
      <w:r w:rsidR="00BD1AA0" w:rsidRPr="00FF3F3E">
        <w:rPr>
          <w:rFonts w:eastAsia="Calibri" w:cstheme="minorHAnsi"/>
          <w:b/>
          <w:sz w:val="20"/>
          <w:szCs w:val="20"/>
          <w:u w:val="single"/>
        </w:rPr>
        <w:t>Art. 41</w:t>
      </w:r>
      <w:r w:rsidR="0081182C">
        <w:rPr>
          <w:rFonts w:eastAsia="Calibri" w:cstheme="minorHAnsi"/>
          <w:b/>
          <w:sz w:val="20"/>
          <w:szCs w:val="20"/>
          <w:u w:val="single"/>
        </w:rPr>
        <w:t xml:space="preserve"> </w:t>
      </w:r>
      <w:r w:rsidR="00BD1AA0" w:rsidRPr="00FF3F3E">
        <w:rPr>
          <w:rFonts w:eastAsia="Calibri" w:cstheme="minorHAnsi"/>
          <w:b/>
          <w:sz w:val="20"/>
          <w:szCs w:val="20"/>
          <w:u w:val="single"/>
        </w:rPr>
        <w:t xml:space="preserve">GBER </w:t>
      </w:r>
      <w:r w:rsidR="0081182C">
        <w:rPr>
          <w:rFonts w:eastAsia="Calibri" w:cstheme="minorHAnsi"/>
          <w:b/>
          <w:sz w:val="20"/>
          <w:szCs w:val="20"/>
          <w:u w:val="single"/>
        </w:rPr>
        <w:t>ust. 6</w:t>
      </w:r>
      <w:r w:rsidR="0081182C" w:rsidRPr="00FF3F3E">
        <w:rPr>
          <w:rFonts w:eastAsia="Calibri" w:cstheme="minorHAnsi"/>
          <w:b/>
          <w:sz w:val="20"/>
          <w:szCs w:val="20"/>
          <w:u w:val="single"/>
        </w:rPr>
        <w:t xml:space="preserve"> </w:t>
      </w:r>
      <w:r w:rsidR="00BD1AA0" w:rsidRPr="00FF3F3E">
        <w:rPr>
          <w:rFonts w:eastAsia="Calibri" w:cstheme="minorHAnsi"/>
          <w:b/>
          <w:sz w:val="20"/>
          <w:szCs w:val="20"/>
          <w:u w:val="single"/>
        </w:rPr>
        <w:t>Lit. B</w:t>
      </w:r>
      <w:r w:rsidRPr="00FF3F3E">
        <w:rPr>
          <w:rFonts w:eastAsia="Calibri" w:cstheme="minorHAnsi"/>
          <w:bCs/>
          <w:sz w:val="20"/>
          <w:szCs w:val="20"/>
        </w:rPr>
        <w:t xml:space="preserve">). </w:t>
      </w:r>
    </w:p>
    <w:p w:rsidR="004272D9" w:rsidRPr="00FF3F3E" w:rsidRDefault="004272D9" w:rsidP="004272D9">
      <w:pPr>
        <w:spacing w:line="276" w:lineRule="auto"/>
        <w:ind w:left="993"/>
        <w:jc w:val="both"/>
        <w:rPr>
          <w:rFonts w:eastAsia="Calibri" w:cstheme="minorHAnsi"/>
          <w:bCs/>
          <w:sz w:val="20"/>
          <w:szCs w:val="20"/>
        </w:rPr>
      </w:pPr>
      <w:r w:rsidRPr="00FF3F3E">
        <w:rPr>
          <w:rFonts w:eastAsia="Calibri" w:cstheme="minorHAnsi"/>
          <w:bCs/>
          <w:sz w:val="20"/>
          <w:szCs w:val="20"/>
        </w:rPr>
        <w:t xml:space="preserve">Do wniosku jako załącznik obligatoryjny należy przedstawić dokument obrazujący różnicę między kosztami obu inwestycji. Ww. dokumentem w odniesieniu do </w:t>
      </w:r>
      <w:r w:rsidR="00BD1AA0" w:rsidRPr="00FF3F3E">
        <w:rPr>
          <w:rFonts w:cstheme="minorHAnsi"/>
          <w:sz w:val="20"/>
          <w:szCs w:val="20"/>
        </w:rPr>
        <w:t>Art. 41 GBER Lit. B</w:t>
      </w:r>
      <w:r w:rsidRPr="00FF3F3E">
        <w:rPr>
          <w:rFonts w:eastAsia="Calibri" w:cstheme="minorHAnsi"/>
          <w:bCs/>
          <w:sz w:val="20"/>
          <w:szCs w:val="20"/>
        </w:rPr>
        <w:t>) jest plik pn. „Kalkulator”.</w:t>
      </w:r>
    </w:p>
    <w:p w:rsidR="00BD1AA0" w:rsidRPr="00FF3F3E" w:rsidRDefault="00BD1AA0" w:rsidP="004272D9">
      <w:pPr>
        <w:spacing w:line="276" w:lineRule="auto"/>
        <w:ind w:left="993"/>
        <w:jc w:val="both"/>
        <w:rPr>
          <w:rFonts w:eastAsia="Calibri" w:cstheme="minorHAnsi"/>
          <w:bCs/>
          <w:sz w:val="20"/>
          <w:szCs w:val="20"/>
        </w:rPr>
      </w:pPr>
      <w:r w:rsidRPr="00FF3F3E">
        <w:rPr>
          <w:rFonts w:eastAsia="Calibri" w:cstheme="minorHAnsi"/>
          <w:bCs/>
          <w:sz w:val="20"/>
          <w:szCs w:val="20"/>
        </w:rPr>
        <w:t>Opis wypełniania opisany jest poniżej w punkcie 3.</w:t>
      </w:r>
    </w:p>
    <w:p w:rsidR="00BD1AA0" w:rsidRPr="00FF3F3E" w:rsidRDefault="00BD1AA0" w:rsidP="00BD1AA0">
      <w:pPr>
        <w:pStyle w:val="ListParagraph"/>
        <w:numPr>
          <w:ilvl w:val="0"/>
          <w:numId w:val="9"/>
        </w:numPr>
        <w:spacing w:after="0" w:line="276" w:lineRule="auto"/>
        <w:jc w:val="both"/>
        <w:rPr>
          <w:rFonts w:eastAsia="Calibri" w:cstheme="minorHAnsi"/>
          <w:bCs/>
          <w:sz w:val="20"/>
          <w:szCs w:val="20"/>
        </w:rPr>
      </w:pPr>
      <w:r w:rsidRPr="00FF3F3E">
        <w:rPr>
          <w:rFonts w:eastAsia="Calibri" w:cstheme="minorHAnsi"/>
          <w:bCs/>
          <w:sz w:val="20"/>
          <w:szCs w:val="20"/>
        </w:rPr>
        <w:t xml:space="preserve">W przypadku małych instalacji, gdzie nie można określić mniej przyjaznej dla środowiska inwestycji, gdyż nie istnieją zakłady o ograniczonej wielkości, koszty kwalifikowalne stanowią całkowite koszty inwestycji </w:t>
      </w:r>
      <w:r w:rsidRPr="00FF3F3E">
        <w:rPr>
          <w:rFonts w:eastAsia="Calibri" w:cstheme="minorHAnsi"/>
          <w:b/>
          <w:sz w:val="20"/>
          <w:szCs w:val="20"/>
          <w:u w:val="single"/>
        </w:rPr>
        <w:t xml:space="preserve">(Art. 41 GBER </w:t>
      </w:r>
      <w:r w:rsidR="0081182C">
        <w:rPr>
          <w:rFonts w:eastAsia="Calibri" w:cstheme="minorHAnsi"/>
          <w:b/>
          <w:sz w:val="20"/>
          <w:szCs w:val="20"/>
          <w:u w:val="single"/>
        </w:rPr>
        <w:t xml:space="preserve">ust. 6 </w:t>
      </w:r>
      <w:r w:rsidRPr="00FF3F3E">
        <w:rPr>
          <w:rFonts w:eastAsia="Calibri" w:cstheme="minorHAnsi"/>
          <w:b/>
          <w:sz w:val="20"/>
          <w:szCs w:val="20"/>
          <w:u w:val="single"/>
        </w:rPr>
        <w:t>Lit. C</w:t>
      </w:r>
      <w:r w:rsidRPr="00FF3F3E">
        <w:rPr>
          <w:rFonts w:eastAsia="Calibri" w:cstheme="minorHAnsi"/>
          <w:bCs/>
          <w:sz w:val="20"/>
          <w:szCs w:val="20"/>
        </w:rPr>
        <w:t>), potencjalne koszty = koszty kwalifikowalne.</w:t>
      </w:r>
    </w:p>
    <w:p w:rsidR="00BD1AA0" w:rsidRPr="00FF3F3E" w:rsidRDefault="00BD1AA0" w:rsidP="00BD1AA0">
      <w:pPr>
        <w:spacing w:after="0" w:line="276" w:lineRule="auto"/>
        <w:jc w:val="both"/>
        <w:rPr>
          <w:rFonts w:eastAsia="Calibri" w:cstheme="minorHAnsi"/>
          <w:bCs/>
          <w:sz w:val="20"/>
          <w:szCs w:val="20"/>
        </w:rPr>
      </w:pPr>
    </w:p>
    <w:p w:rsidR="00BD1AA0" w:rsidRPr="00FF3F3E" w:rsidRDefault="00BD1AA0" w:rsidP="00BD1AA0">
      <w:pPr>
        <w:spacing w:line="276" w:lineRule="auto"/>
        <w:jc w:val="both"/>
        <w:rPr>
          <w:rFonts w:eastAsia="Calibri" w:cstheme="minorHAnsi"/>
          <w:sz w:val="20"/>
          <w:szCs w:val="20"/>
        </w:rPr>
      </w:pPr>
      <w:r w:rsidRPr="00FF3F3E">
        <w:rPr>
          <w:rFonts w:eastAsia="Calibri" w:cstheme="minorHAnsi"/>
          <w:sz w:val="20"/>
          <w:szCs w:val="20"/>
        </w:rPr>
        <w:t>W celu ułatwienia wypełnienia formularza oraz oceny kwalifikowalności, zasadności i adekwatności wydatków na etapie oceny formalnej i merytorycznej wniosku, wydatki należy podać w sposób wskazany na poniższym przykładzie tj.:</w:t>
      </w:r>
    </w:p>
    <w:p w:rsidR="00BD1AA0" w:rsidRPr="00FF3F3E" w:rsidRDefault="00BD1AA0" w:rsidP="00BD1AA0">
      <w:pPr>
        <w:spacing w:line="276" w:lineRule="auto"/>
        <w:jc w:val="both"/>
        <w:rPr>
          <w:rFonts w:eastAsia="Calibri" w:cstheme="minorHAnsi"/>
          <w:sz w:val="20"/>
          <w:szCs w:val="20"/>
        </w:rPr>
      </w:pPr>
      <w:r w:rsidRPr="00FF3F3E">
        <w:rPr>
          <w:rFonts w:eastAsia="Calibri" w:cstheme="minorHAnsi"/>
          <w:sz w:val="20"/>
          <w:szCs w:val="20"/>
        </w:rPr>
        <w:t xml:space="preserve">W arkuszu „Wydatki” należy wymienić wszystkie wydatki w ramach określonej kategorii wydatków przyporządkowane do określonego rodzaju pomocy. Kategorie wydatków w ramach określonego rodzaju pomocy należy wymienić w kolejności numerycznej od P.1 do P.14.  </w:t>
      </w:r>
    </w:p>
    <w:p w:rsidR="00BD1AA0" w:rsidRPr="00FF3F3E" w:rsidRDefault="00BD1AA0" w:rsidP="00BD1AA0">
      <w:pPr>
        <w:pStyle w:val="ListParagraph"/>
        <w:spacing w:line="276" w:lineRule="auto"/>
        <w:jc w:val="both"/>
        <w:rPr>
          <w:rFonts w:eastAsia="Calibri" w:cstheme="minorHAnsi"/>
          <w:sz w:val="20"/>
          <w:szCs w:val="20"/>
        </w:rPr>
      </w:pPr>
    </w:p>
    <w:tbl>
      <w:tblPr>
        <w:tblW w:w="0" w:type="auto"/>
        <w:tblCellMar>
          <w:left w:w="70" w:type="dxa"/>
          <w:right w:w="70" w:type="dxa"/>
        </w:tblCellMar>
        <w:tblLook w:val="04A0"/>
      </w:tblPr>
      <w:tblGrid>
        <w:gridCol w:w="242"/>
        <w:gridCol w:w="3869"/>
        <w:gridCol w:w="1794"/>
        <w:gridCol w:w="3873"/>
      </w:tblGrid>
      <w:tr w:rsidR="00BD1AA0" w:rsidRPr="00FF3F3E" w:rsidTr="00BD1AA0">
        <w:trPr>
          <w:trHeight w:val="1217"/>
        </w:trPr>
        <w:tc>
          <w:tcPr>
            <w:tcW w:w="0" w:type="auto"/>
            <w:gridSpan w:val="2"/>
            <w:tcBorders>
              <w:top w:val="single" w:sz="4" w:space="0" w:color="auto"/>
              <w:left w:val="single" w:sz="4" w:space="0" w:color="auto"/>
              <w:bottom w:val="single" w:sz="4" w:space="0" w:color="auto"/>
              <w:right w:val="single" w:sz="4" w:space="0" w:color="000000"/>
            </w:tcBorders>
            <w:shd w:val="clear" w:color="000000" w:fill="BFBFBF"/>
            <w:noWrap/>
            <w:vAlign w:val="center"/>
            <w:hideMark/>
          </w:tcPr>
          <w:p w:rsidR="00BD1AA0" w:rsidRPr="00FF3F3E" w:rsidRDefault="00BD1AA0" w:rsidP="00BD1AA0">
            <w:pPr>
              <w:spacing w:after="0" w:line="276" w:lineRule="auto"/>
              <w:jc w:val="center"/>
              <w:rPr>
                <w:rFonts w:eastAsia="Times New Roman" w:cstheme="minorHAnsi"/>
                <w:b/>
                <w:bCs/>
                <w:color w:val="000000"/>
                <w:sz w:val="20"/>
                <w:szCs w:val="20"/>
              </w:rPr>
            </w:pPr>
            <w:r w:rsidRPr="00FF3F3E">
              <w:rPr>
                <w:rFonts w:eastAsia="Times New Roman" w:cstheme="minorHAnsi"/>
                <w:b/>
                <w:bCs/>
                <w:color w:val="000000"/>
                <w:sz w:val="20"/>
                <w:szCs w:val="20"/>
              </w:rPr>
              <w:t xml:space="preserve">Nazwa wydatków </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BD1AA0" w:rsidRPr="00FF3F3E" w:rsidRDefault="00BD1AA0" w:rsidP="00BD1AA0">
            <w:pPr>
              <w:spacing w:after="0" w:line="276" w:lineRule="auto"/>
              <w:jc w:val="center"/>
              <w:rPr>
                <w:rFonts w:eastAsia="Times New Roman" w:cstheme="minorHAnsi"/>
                <w:b/>
                <w:bCs/>
                <w:color w:val="000000"/>
                <w:sz w:val="20"/>
                <w:szCs w:val="20"/>
              </w:rPr>
            </w:pPr>
            <w:r w:rsidRPr="00FF3F3E">
              <w:rPr>
                <w:rFonts w:eastAsia="Times New Roman" w:cstheme="minorHAnsi"/>
                <w:b/>
                <w:bCs/>
                <w:color w:val="000000"/>
                <w:sz w:val="20"/>
                <w:szCs w:val="20"/>
              </w:rPr>
              <w:t>Rodzaj pomocy:</w:t>
            </w:r>
          </w:p>
          <w:p w:rsidR="00BD1AA0" w:rsidRPr="00FF3F3E" w:rsidRDefault="00BD1AA0" w:rsidP="00BD1AA0">
            <w:pPr>
              <w:spacing w:after="0" w:line="276" w:lineRule="auto"/>
              <w:jc w:val="center"/>
              <w:rPr>
                <w:rFonts w:eastAsia="Times New Roman" w:cstheme="minorHAnsi"/>
                <w:b/>
                <w:bCs/>
                <w:color w:val="000000"/>
                <w:sz w:val="20"/>
                <w:szCs w:val="20"/>
              </w:rPr>
            </w:pPr>
            <w:r w:rsidRPr="00FF3F3E">
              <w:rPr>
                <w:rFonts w:eastAsia="Times New Roman" w:cstheme="minorHAnsi"/>
                <w:b/>
                <w:bCs/>
                <w:color w:val="000000"/>
                <w:sz w:val="20"/>
                <w:szCs w:val="20"/>
              </w:rPr>
              <w:t>Art. 48 GBER</w:t>
            </w:r>
          </w:p>
          <w:p w:rsidR="00BD1AA0" w:rsidRPr="00362B64" w:rsidRDefault="00BD1AA0" w:rsidP="00BD1AA0">
            <w:pPr>
              <w:spacing w:after="0" w:line="276" w:lineRule="auto"/>
              <w:jc w:val="center"/>
              <w:rPr>
                <w:rFonts w:eastAsia="Times New Roman" w:cstheme="minorHAnsi"/>
                <w:b/>
                <w:bCs/>
                <w:color w:val="000000"/>
                <w:sz w:val="20"/>
                <w:szCs w:val="20"/>
                <w:lang w:val="en-US"/>
              </w:rPr>
            </w:pPr>
            <w:r w:rsidRPr="00FF3F3E">
              <w:rPr>
                <w:rFonts w:eastAsia="Times New Roman" w:cstheme="minorHAnsi"/>
                <w:b/>
                <w:bCs/>
                <w:color w:val="000000"/>
                <w:sz w:val="20"/>
                <w:szCs w:val="20"/>
              </w:rPr>
              <w:t xml:space="preserve">Art. 41 GBER - lit. </w:t>
            </w:r>
            <w:r w:rsidRPr="00362B64">
              <w:rPr>
                <w:rFonts w:eastAsia="Times New Roman" w:cstheme="minorHAnsi"/>
                <w:b/>
                <w:bCs/>
                <w:color w:val="000000"/>
                <w:sz w:val="20"/>
                <w:szCs w:val="20"/>
                <w:lang w:val="en-US"/>
              </w:rPr>
              <w:t xml:space="preserve">A </w:t>
            </w:r>
            <w:proofErr w:type="spellStart"/>
            <w:r w:rsidRPr="00362B64">
              <w:rPr>
                <w:rFonts w:eastAsia="Times New Roman" w:cstheme="minorHAnsi"/>
                <w:b/>
                <w:bCs/>
                <w:color w:val="000000"/>
                <w:sz w:val="20"/>
                <w:szCs w:val="20"/>
                <w:lang w:val="en-US"/>
              </w:rPr>
              <w:t>lub</w:t>
            </w:r>
            <w:proofErr w:type="spellEnd"/>
            <w:r w:rsidRPr="00362B64">
              <w:rPr>
                <w:rFonts w:eastAsia="Times New Roman" w:cstheme="minorHAnsi"/>
                <w:b/>
                <w:bCs/>
                <w:color w:val="000000"/>
                <w:sz w:val="20"/>
                <w:szCs w:val="20"/>
                <w:lang w:val="en-US"/>
              </w:rPr>
              <w:t xml:space="preserve"> B</w:t>
            </w:r>
            <w:r w:rsidRPr="00362B64">
              <w:rPr>
                <w:rFonts w:eastAsia="Times New Roman" w:cstheme="minorHAnsi"/>
                <w:b/>
                <w:bCs/>
                <w:color w:val="000000"/>
                <w:sz w:val="20"/>
                <w:szCs w:val="20"/>
                <w:lang w:val="en-US"/>
              </w:rPr>
              <w:br/>
              <w:t xml:space="preserve">Art. </w:t>
            </w:r>
            <w:proofErr w:type="gramStart"/>
            <w:r w:rsidRPr="00362B64">
              <w:rPr>
                <w:rFonts w:eastAsia="Times New Roman" w:cstheme="minorHAnsi"/>
                <w:b/>
                <w:bCs/>
                <w:color w:val="000000"/>
                <w:sz w:val="20"/>
                <w:szCs w:val="20"/>
                <w:lang w:val="en-US"/>
              </w:rPr>
              <w:t>41 GBER -</w:t>
            </w:r>
            <w:proofErr w:type="gramEnd"/>
            <w:r w:rsidRPr="00362B64">
              <w:rPr>
                <w:rFonts w:eastAsia="Times New Roman" w:cstheme="minorHAnsi"/>
                <w:b/>
                <w:bCs/>
                <w:color w:val="000000"/>
                <w:sz w:val="20"/>
                <w:szCs w:val="20"/>
                <w:lang w:val="en-US"/>
              </w:rPr>
              <w:t xml:space="preserve"> lit. C</w:t>
            </w:r>
            <w:r w:rsidRPr="00362B64">
              <w:rPr>
                <w:rFonts w:eastAsia="Times New Roman" w:cstheme="minorHAnsi"/>
                <w:b/>
                <w:bCs/>
                <w:color w:val="000000"/>
                <w:sz w:val="20"/>
                <w:szCs w:val="20"/>
                <w:lang w:val="en-US"/>
              </w:rPr>
              <w:br/>
              <w:t>PDM</w:t>
            </w:r>
            <w:r w:rsidRPr="00362B64">
              <w:rPr>
                <w:rFonts w:eastAsia="Times New Roman" w:cstheme="minorHAnsi"/>
                <w:b/>
                <w:bCs/>
                <w:color w:val="000000"/>
                <w:sz w:val="20"/>
                <w:szCs w:val="20"/>
                <w:lang w:val="en-US"/>
              </w:rPr>
              <w:br/>
              <w:t>BP</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BD1AA0" w:rsidRPr="00FF3F3E" w:rsidRDefault="00BD1AA0" w:rsidP="00BD1AA0">
            <w:pPr>
              <w:spacing w:after="0" w:line="276" w:lineRule="auto"/>
              <w:jc w:val="center"/>
              <w:rPr>
                <w:rFonts w:eastAsia="Times New Roman" w:cstheme="minorHAnsi"/>
                <w:b/>
                <w:bCs/>
                <w:color w:val="000000"/>
                <w:sz w:val="20"/>
                <w:szCs w:val="20"/>
              </w:rPr>
            </w:pPr>
            <w:r w:rsidRPr="00FF3F3E">
              <w:rPr>
                <w:rFonts w:eastAsia="Times New Roman" w:cstheme="minorHAnsi"/>
                <w:b/>
                <w:bCs/>
                <w:color w:val="000000"/>
                <w:sz w:val="20"/>
                <w:szCs w:val="20"/>
              </w:rPr>
              <w:t>Kategoria wydatków</w:t>
            </w:r>
          </w:p>
        </w:tc>
      </w:tr>
      <w:tr w:rsidR="00BD1AA0" w:rsidRPr="00FF3F3E" w:rsidTr="00BD1AA0">
        <w:trPr>
          <w:trHeight w:val="56"/>
        </w:trPr>
        <w:tc>
          <w:tcPr>
            <w:tcW w:w="0" w:type="auto"/>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rsidR="00BD1AA0" w:rsidRPr="00FF3F3E" w:rsidRDefault="00BD1AA0" w:rsidP="00BD1AA0">
            <w:pPr>
              <w:spacing w:after="0" w:line="276" w:lineRule="auto"/>
              <w:jc w:val="right"/>
              <w:rPr>
                <w:rFonts w:eastAsia="Times New Roman" w:cstheme="minorHAnsi"/>
                <w:b/>
                <w:bCs/>
                <w:sz w:val="20"/>
                <w:szCs w:val="20"/>
              </w:rPr>
            </w:pPr>
            <w:r w:rsidRPr="00FF3F3E">
              <w:rPr>
                <w:rFonts w:eastAsia="Times New Roman" w:cstheme="minorHAnsi"/>
                <w:b/>
                <w:bCs/>
                <w:sz w:val="20"/>
                <w:szCs w:val="20"/>
              </w:rPr>
              <w:t>Razem:</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D1AA0" w:rsidRPr="00FF3F3E" w:rsidRDefault="00BD1AA0" w:rsidP="00BD1AA0">
            <w:pPr>
              <w:spacing w:after="0" w:line="276" w:lineRule="auto"/>
              <w:rPr>
                <w:rFonts w:eastAsia="Times New Roman" w:cstheme="minorHAnsi"/>
                <w:b/>
                <w:bCs/>
                <w:color w:val="00000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D1AA0" w:rsidRPr="00FF3F3E" w:rsidRDefault="00BD1AA0" w:rsidP="00BD1AA0">
            <w:pPr>
              <w:spacing w:after="0" w:line="276" w:lineRule="auto"/>
              <w:rPr>
                <w:rFonts w:eastAsia="Times New Roman" w:cstheme="minorHAnsi"/>
                <w:b/>
                <w:bCs/>
                <w:color w:val="000000"/>
                <w:sz w:val="20"/>
                <w:szCs w:val="20"/>
              </w:rPr>
            </w:pPr>
          </w:p>
        </w:tc>
      </w:tr>
      <w:tr w:rsidR="00BD1AA0" w:rsidRPr="00FF3F3E" w:rsidTr="00BD1AA0">
        <w:trPr>
          <w:trHeight w:val="477"/>
        </w:trPr>
        <w:tc>
          <w:tcPr>
            <w:tcW w:w="0" w:type="auto"/>
            <w:tcBorders>
              <w:top w:val="nil"/>
              <w:left w:val="single" w:sz="4" w:space="0" w:color="auto"/>
              <w:bottom w:val="single" w:sz="4" w:space="0" w:color="auto"/>
              <w:right w:val="single" w:sz="4" w:space="0" w:color="auto"/>
            </w:tcBorders>
            <w:shd w:val="clear" w:color="000000" w:fill="C6E0B4"/>
            <w:vAlign w:val="center"/>
            <w:hideMark/>
          </w:tcPr>
          <w:p w:rsidR="00BD1AA0" w:rsidRPr="00FF3F3E" w:rsidRDefault="00BD1AA0" w:rsidP="00BD1AA0">
            <w:pPr>
              <w:spacing w:after="0" w:line="276" w:lineRule="auto"/>
              <w:jc w:val="center"/>
              <w:rPr>
                <w:rFonts w:eastAsia="Times New Roman" w:cstheme="minorHAnsi"/>
                <w:sz w:val="20"/>
                <w:szCs w:val="20"/>
              </w:rPr>
            </w:pPr>
            <w:r w:rsidRPr="00FF3F3E">
              <w:rPr>
                <w:rFonts w:eastAsia="Times New Roman" w:cstheme="minorHAnsi"/>
                <w:sz w:val="20"/>
                <w:szCs w:val="20"/>
              </w:rPr>
              <w:t>1</w:t>
            </w:r>
          </w:p>
        </w:tc>
        <w:tc>
          <w:tcPr>
            <w:tcW w:w="0" w:type="auto"/>
            <w:tcBorders>
              <w:top w:val="nil"/>
              <w:left w:val="nil"/>
              <w:bottom w:val="single" w:sz="4" w:space="0" w:color="auto"/>
              <w:right w:val="single" w:sz="4" w:space="0" w:color="auto"/>
            </w:tcBorders>
            <w:shd w:val="clear" w:color="000000" w:fill="C6E0B4"/>
            <w:vAlign w:val="center"/>
            <w:hideMark/>
          </w:tcPr>
          <w:p w:rsidR="00BD1AA0" w:rsidRPr="00FF3F3E" w:rsidRDefault="00BD1AA0" w:rsidP="00BD1AA0">
            <w:pPr>
              <w:spacing w:after="0" w:line="276" w:lineRule="auto"/>
              <w:rPr>
                <w:rFonts w:eastAsia="Times New Roman" w:cstheme="minorHAnsi"/>
                <w:sz w:val="20"/>
                <w:szCs w:val="20"/>
              </w:rPr>
            </w:pPr>
            <w:r w:rsidRPr="00FF3F3E">
              <w:rPr>
                <w:rFonts w:eastAsia="Times New Roman" w:cstheme="minorHAnsi"/>
                <w:sz w:val="20"/>
                <w:szCs w:val="20"/>
              </w:rPr>
              <w:t>Stacja SN</w:t>
            </w:r>
          </w:p>
        </w:tc>
        <w:tc>
          <w:tcPr>
            <w:tcW w:w="0" w:type="auto"/>
            <w:tcBorders>
              <w:top w:val="nil"/>
              <w:left w:val="nil"/>
              <w:bottom w:val="single" w:sz="4" w:space="0" w:color="auto"/>
              <w:right w:val="single" w:sz="4" w:space="0" w:color="auto"/>
            </w:tcBorders>
            <w:shd w:val="clear" w:color="000000" w:fill="D9D9D9"/>
            <w:vAlign w:val="center"/>
            <w:hideMark/>
          </w:tcPr>
          <w:p w:rsidR="00BD1AA0" w:rsidRPr="00FF3F3E" w:rsidRDefault="00BD1AA0" w:rsidP="00BD1AA0">
            <w:pPr>
              <w:spacing w:after="0" w:line="276" w:lineRule="auto"/>
              <w:jc w:val="center"/>
              <w:rPr>
                <w:rFonts w:eastAsia="Times New Roman" w:cstheme="minorHAnsi"/>
                <w:b/>
                <w:bCs/>
                <w:color w:val="000000"/>
                <w:sz w:val="20"/>
                <w:szCs w:val="20"/>
              </w:rPr>
            </w:pPr>
            <w:r w:rsidRPr="00FF3F3E">
              <w:rPr>
                <w:rFonts w:eastAsia="Times New Roman" w:cstheme="minorHAnsi"/>
                <w:b/>
                <w:bCs/>
                <w:color w:val="000000"/>
                <w:sz w:val="20"/>
                <w:szCs w:val="20"/>
              </w:rPr>
              <w:t>Art. 48 GBER</w:t>
            </w:r>
          </w:p>
        </w:tc>
        <w:tc>
          <w:tcPr>
            <w:tcW w:w="0" w:type="auto"/>
            <w:tcBorders>
              <w:top w:val="nil"/>
              <w:left w:val="nil"/>
              <w:bottom w:val="single" w:sz="4" w:space="0" w:color="auto"/>
              <w:right w:val="single" w:sz="4" w:space="0" w:color="auto"/>
            </w:tcBorders>
            <w:shd w:val="clear" w:color="000000" w:fill="D9D9D9"/>
            <w:vAlign w:val="center"/>
            <w:hideMark/>
          </w:tcPr>
          <w:p w:rsidR="00BD1AA0" w:rsidRPr="00FF3F3E" w:rsidRDefault="00BD1AA0" w:rsidP="00BD1AA0">
            <w:pPr>
              <w:spacing w:after="0" w:line="276" w:lineRule="auto"/>
              <w:rPr>
                <w:rFonts w:eastAsia="Times New Roman" w:cstheme="minorHAnsi"/>
                <w:b/>
                <w:bCs/>
                <w:sz w:val="20"/>
                <w:szCs w:val="20"/>
              </w:rPr>
            </w:pPr>
            <w:r w:rsidRPr="00FF3F3E">
              <w:rPr>
                <w:rFonts w:eastAsia="Times New Roman" w:cstheme="minorHAnsi"/>
                <w:b/>
                <w:bCs/>
                <w:sz w:val="20"/>
                <w:szCs w:val="20"/>
              </w:rPr>
              <w:t>P.1 Środki trwałe</w:t>
            </w:r>
          </w:p>
        </w:tc>
      </w:tr>
      <w:tr w:rsidR="00BD1AA0" w:rsidRPr="00FF3F3E" w:rsidTr="00BD1AA0">
        <w:trPr>
          <w:trHeight w:val="477"/>
        </w:trPr>
        <w:tc>
          <w:tcPr>
            <w:tcW w:w="0" w:type="auto"/>
            <w:tcBorders>
              <w:top w:val="nil"/>
              <w:left w:val="single" w:sz="4" w:space="0" w:color="auto"/>
              <w:bottom w:val="single" w:sz="4" w:space="0" w:color="auto"/>
              <w:right w:val="single" w:sz="4" w:space="0" w:color="auto"/>
            </w:tcBorders>
            <w:shd w:val="clear" w:color="000000" w:fill="C6E0B4"/>
            <w:vAlign w:val="center"/>
          </w:tcPr>
          <w:p w:rsidR="00BD1AA0" w:rsidRPr="00FF3F3E" w:rsidRDefault="00BD1AA0" w:rsidP="00BD1AA0">
            <w:pPr>
              <w:spacing w:after="0" w:line="276" w:lineRule="auto"/>
              <w:jc w:val="center"/>
              <w:rPr>
                <w:rFonts w:eastAsia="Times New Roman" w:cstheme="minorHAnsi"/>
                <w:sz w:val="20"/>
                <w:szCs w:val="20"/>
              </w:rPr>
            </w:pPr>
            <w:r w:rsidRPr="00FF3F3E">
              <w:rPr>
                <w:rFonts w:eastAsia="Times New Roman" w:cstheme="minorHAnsi"/>
                <w:sz w:val="20"/>
                <w:szCs w:val="20"/>
              </w:rPr>
              <w:t>2</w:t>
            </w:r>
          </w:p>
        </w:tc>
        <w:tc>
          <w:tcPr>
            <w:tcW w:w="0" w:type="auto"/>
            <w:tcBorders>
              <w:top w:val="nil"/>
              <w:left w:val="nil"/>
              <w:bottom w:val="single" w:sz="4" w:space="0" w:color="auto"/>
              <w:right w:val="single" w:sz="4" w:space="0" w:color="auto"/>
            </w:tcBorders>
            <w:shd w:val="clear" w:color="000000" w:fill="C6E0B4"/>
            <w:vAlign w:val="center"/>
          </w:tcPr>
          <w:p w:rsidR="00BD1AA0" w:rsidRPr="00FF3F3E" w:rsidRDefault="00BD1AA0" w:rsidP="00BD1AA0">
            <w:pPr>
              <w:spacing w:after="0" w:line="276" w:lineRule="auto"/>
              <w:rPr>
                <w:rFonts w:eastAsia="Times New Roman" w:cstheme="minorHAnsi"/>
                <w:sz w:val="20"/>
                <w:szCs w:val="20"/>
              </w:rPr>
            </w:pPr>
            <w:r w:rsidRPr="00FF3F3E">
              <w:rPr>
                <w:rFonts w:eastAsia="Times New Roman" w:cstheme="minorHAnsi"/>
                <w:sz w:val="20"/>
                <w:szCs w:val="20"/>
              </w:rPr>
              <w:t xml:space="preserve">Linia kablowa SN </w:t>
            </w:r>
          </w:p>
        </w:tc>
        <w:tc>
          <w:tcPr>
            <w:tcW w:w="0" w:type="auto"/>
            <w:tcBorders>
              <w:top w:val="nil"/>
              <w:left w:val="nil"/>
              <w:bottom w:val="single" w:sz="4" w:space="0" w:color="auto"/>
              <w:right w:val="single" w:sz="4" w:space="0" w:color="auto"/>
            </w:tcBorders>
            <w:shd w:val="clear" w:color="000000" w:fill="D9D9D9"/>
            <w:vAlign w:val="center"/>
          </w:tcPr>
          <w:p w:rsidR="00BD1AA0" w:rsidRPr="00FF3F3E" w:rsidRDefault="00BD1AA0" w:rsidP="00BD1AA0">
            <w:pPr>
              <w:spacing w:after="0" w:line="276" w:lineRule="auto"/>
              <w:jc w:val="center"/>
              <w:rPr>
                <w:rFonts w:eastAsia="Times New Roman" w:cstheme="minorHAnsi"/>
                <w:b/>
                <w:bCs/>
                <w:color w:val="000000"/>
                <w:sz w:val="20"/>
                <w:szCs w:val="20"/>
              </w:rPr>
            </w:pPr>
            <w:r w:rsidRPr="00FF3F3E">
              <w:rPr>
                <w:rFonts w:eastAsia="Times New Roman" w:cstheme="minorHAnsi"/>
                <w:b/>
                <w:bCs/>
                <w:color w:val="000000"/>
                <w:sz w:val="20"/>
                <w:szCs w:val="20"/>
              </w:rPr>
              <w:t>Art. 48 GBER</w:t>
            </w:r>
          </w:p>
        </w:tc>
        <w:tc>
          <w:tcPr>
            <w:tcW w:w="0" w:type="auto"/>
            <w:tcBorders>
              <w:top w:val="nil"/>
              <w:left w:val="nil"/>
              <w:bottom w:val="single" w:sz="4" w:space="0" w:color="auto"/>
              <w:right w:val="single" w:sz="4" w:space="0" w:color="auto"/>
            </w:tcBorders>
            <w:shd w:val="clear" w:color="000000" w:fill="D9D9D9"/>
            <w:vAlign w:val="center"/>
          </w:tcPr>
          <w:p w:rsidR="00BD1AA0" w:rsidRPr="00FF3F3E" w:rsidRDefault="00BD1AA0" w:rsidP="00BD1AA0">
            <w:pPr>
              <w:spacing w:after="0" w:line="276" w:lineRule="auto"/>
              <w:rPr>
                <w:rFonts w:eastAsia="Times New Roman" w:cstheme="minorHAnsi"/>
                <w:b/>
                <w:bCs/>
                <w:sz w:val="20"/>
                <w:szCs w:val="20"/>
              </w:rPr>
            </w:pPr>
            <w:r w:rsidRPr="00FF3F3E">
              <w:rPr>
                <w:rFonts w:eastAsia="Times New Roman" w:cstheme="minorHAnsi"/>
                <w:b/>
                <w:bCs/>
                <w:sz w:val="20"/>
                <w:szCs w:val="20"/>
              </w:rPr>
              <w:t>P.1 Środki trwałe</w:t>
            </w:r>
          </w:p>
        </w:tc>
      </w:tr>
      <w:tr w:rsidR="00BD1AA0" w:rsidRPr="00FF3F3E" w:rsidTr="00BD1AA0">
        <w:trPr>
          <w:trHeight w:val="477"/>
        </w:trPr>
        <w:tc>
          <w:tcPr>
            <w:tcW w:w="0" w:type="auto"/>
            <w:tcBorders>
              <w:top w:val="nil"/>
              <w:left w:val="single" w:sz="4" w:space="0" w:color="auto"/>
              <w:bottom w:val="single" w:sz="4" w:space="0" w:color="auto"/>
              <w:right w:val="single" w:sz="4" w:space="0" w:color="auto"/>
            </w:tcBorders>
            <w:shd w:val="clear" w:color="000000" w:fill="C6E0B4"/>
            <w:vAlign w:val="center"/>
          </w:tcPr>
          <w:p w:rsidR="00BD1AA0" w:rsidRPr="00FF3F3E" w:rsidRDefault="00BD1AA0" w:rsidP="00BD1AA0">
            <w:pPr>
              <w:spacing w:after="0" w:line="276" w:lineRule="auto"/>
              <w:jc w:val="center"/>
              <w:rPr>
                <w:rFonts w:eastAsia="Times New Roman" w:cstheme="minorHAnsi"/>
                <w:sz w:val="20"/>
                <w:szCs w:val="20"/>
              </w:rPr>
            </w:pPr>
            <w:r w:rsidRPr="00FF3F3E">
              <w:rPr>
                <w:rFonts w:eastAsia="Times New Roman" w:cstheme="minorHAnsi"/>
                <w:sz w:val="20"/>
                <w:szCs w:val="20"/>
              </w:rPr>
              <w:t>3</w:t>
            </w:r>
          </w:p>
        </w:tc>
        <w:tc>
          <w:tcPr>
            <w:tcW w:w="0" w:type="auto"/>
            <w:tcBorders>
              <w:top w:val="nil"/>
              <w:left w:val="nil"/>
              <w:bottom w:val="single" w:sz="4" w:space="0" w:color="auto"/>
              <w:right w:val="single" w:sz="4" w:space="0" w:color="auto"/>
            </w:tcBorders>
            <w:shd w:val="clear" w:color="000000" w:fill="C6E0B4"/>
            <w:vAlign w:val="center"/>
          </w:tcPr>
          <w:p w:rsidR="00BD1AA0" w:rsidRPr="00FF3F3E" w:rsidRDefault="00BD1AA0" w:rsidP="00BD1AA0">
            <w:pPr>
              <w:spacing w:after="0" w:line="276" w:lineRule="auto"/>
              <w:rPr>
                <w:rFonts w:eastAsia="Times New Roman" w:cstheme="minorHAnsi"/>
                <w:sz w:val="20"/>
                <w:szCs w:val="20"/>
              </w:rPr>
            </w:pPr>
            <w:r w:rsidRPr="00FF3F3E">
              <w:rPr>
                <w:rFonts w:eastAsia="Times New Roman" w:cstheme="minorHAnsi"/>
                <w:sz w:val="20"/>
                <w:szCs w:val="20"/>
              </w:rPr>
              <w:t>Kontenerowa stacja transformatorowa</w:t>
            </w:r>
          </w:p>
        </w:tc>
        <w:tc>
          <w:tcPr>
            <w:tcW w:w="0" w:type="auto"/>
            <w:tcBorders>
              <w:top w:val="nil"/>
              <w:left w:val="nil"/>
              <w:bottom w:val="single" w:sz="4" w:space="0" w:color="auto"/>
              <w:right w:val="single" w:sz="4" w:space="0" w:color="auto"/>
            </w:tcBorders>
            <w:shd w:val="clear" w:color="000000" w:fill="D9D9D9"/>
            <w:vAlign w:val="center"/>
          </w:tcPr>
          <w:p w:rsidR="00BD1AA0" w:rsidRPr="00FF3F3E" w:rsidRDefault="00BD1AA0" w:rsidP="00BD1AA0">
            <w:pPr>
              <w:spacing w:after="0" w:line="276" w:lineRule="auto"/>
              <w:jc w:val="center"/>
              <w:rPr>
                <w:rFonts w:eastAsia="Times New Roman" w:cstheme="minorHAnsi"/>
                <w:b/>
                <w:bCs/>
                <w:color w:val="000000"/>
                <w:sz w:val="20"/>
                <w:szCs w:val="20"/>
              </w:rPr>
            </w:pPr>
            <w:r w:rsidRPr="00FF3F3E">
              <w:rPr>
                <w:rFonts w:eastAsia="Times New Roman" w:cstheme="minorHAnsi"/>
                <w:b/>
                <w:bCs/>
                <w:color w:val="000000"/>
                <w:sz w:val="20"/>
                <w:szCs w:val="20"/>
              </w:rPr>
              <w:t>Art. 48 GBER</w:t>
            </w:r>
          </w:p>
        </w:tc>
        <w:tc>
          <w:tcPr>
            <w:tcW w:w="0" w:type="auto"/>
            <w:tcBorders>
              <w:top w:val="nil"/>
              <w:left w:val="nil"/>
              <w:bottom w:val="single" w:sz="4" w:space="0" w:color="auto"/>
              <w:right w:val="single" w:sz="4" w:space="0" w:color="auto"/>
            </w:tcBorders>
            <w:shd w:val="clear" w:color="000000" w:fill="D9D9D9"/>
            <w:vAlign w:val="center"/>
          </w:tcPr>
          <w:p w:rsidR="00BD1AA0" w:rsidRPr="00FF3F3E" w:rsidRDefault="00BD1AA0" w:rsidP="00BD1AA0">
            <w:pPr>
              <w:spacing w:after="0" w:line="276" w:lineRule="auto"/>
              <w:rPr>
                <w:rFonts w:eastAsia="Times New Roman" w:cstheme="minorHAnsi"/>
                <w:b/>
                <w:bCs/>
                <w:sz w:val="20"/>
                <w:szCs w:val="20"/>
              </w:rPr>
            </w:pPr>
            <w:r w:rsidRPr="00FF3F3E">
              <w:rPr>
                <w:rFonts w:eastAsia="Times New Roman" w:cstheme="minorHAnsi"/>
                <w:b/>
                <w:bCs/>
                <w:sz w:val="20"/>
                <w:szCs w:val="20"/>
              </w:rPr>
              <w:t>P.1 Środki trwałe</w:t>
            </w:r>
          </w:p>
        </w:tc>
      </w:tr>
      <w:tr w:rsidR="00BD1AA0" w:rsidRPr="00FF3F3E" w:rsidTr="00BD1AA0">
        <w:trPr>
          <w:trHeight w:val="510"/>
        </w:trPr>
        <w:tc>
          <w:tcPr>
            <w:tcW w:w="0" w:type="auto"/>
            <w:tcBorders>
              <w:top w:val="nil"/>
              <w:left w:val="single" w:sz="4" w:space="0" w:color="auto"/>
              <w:bottom w:val="single" w:sz="4" w:space="0" w:color="auto"/>
              <w:right w:val="single" w:sz="4" w:space="0" w:color="auto"/>
            </w:tcBorders>
            <w:shd w:val="clear" w:color="000000" w:fill="C6E0B4"/>
            <w:vAlign w:val="center"/>
            <w:hideMark/>
          </w:tcPr>
          <w:p w:rsidR="00BD1AA0" w:rsidRPr="00FF3F3E" w:rsidRDefault="00BD1AA0" w:rsidP="00BD1AA0">
            <w:pPr>
              <w:spacing w:after="0" w:line="276" w:lineRule="auto"/>
              <w:jc w:val="center"/>
              <w:rPr>
                <w:rFonts w:eastAsia="Times New Roman" w:cstheme="minorHAnsi"/>
                <w:sz w:val="20"/>
                <w:szCs w:val="20"/>
              </w:rPr>
            </w:pPr>
            <w:r w:rsidRPr="00FF3F3E">
              <w:rPr>
                <w:rFonts w:eastAsia="Times New Roman" w:cstheme="minorHAnsi"/>
                <w:sz w:val="20"/>
                <w:szCs w:val="20"/>
              </w:rPr>
              <w:t>2</w:t>
            </w:r>
          </w:p>
        </w:tc>
        <w:tc>
          <w:tcPr>
            <w:tcW w:w="0" w:type="auto"/>
            <w:tcBorders>
              <w:top w:val="nil"/>
              <w:left w:val="nil"/>
              <w:bottom w:val="single" w:sz="4" w:space="0" w:color="auto"/>
              <w:right w:val="single" w:sz="4" w:space="0" w:color="auto"/>
            </w:tcBorders>
            <w:shd w:val="clear" w:color="000000" w:fill="C6E0B4"/>
            <w:vAlign w:val="center"/>
            <w:hideMark/>
          </w:tcPr>
          <w:p w:rsidR="00BD1AA0" w:rsidRPr="00FF3F3E" w:rsidRDefault="00BD1AA0" w:rsidP="00BD1AA0">
            <w:pPr>
              <w:spacing w:after="0" w:line="276" w:lineRule="auto"/>
              <w:rPr>
                <w:rFonts w:eastAsia="Times New Roman" w:cstheme="minorHAnsi"/>
                <w:sz w:val="20"/>
                <w:szCs w:val="20"/>
              </w:rPr>
            </w:pPr>
            <w:r w:rsidRPr="00FF3F3E">
              <w:rPr>
                <w:rFonts w:eastAsia="Times New Roman" w:cstheme="minorHAnsi"/>
                <w:sz w:val="20"/>
                <w:szCs w:val="20"/>
              </w:rPr>
              <w:t xml:space="preserve">panele fotowoltaiczne - mikroinstalacja </w:t>
            </w:r>
          </w:p>
        </w:tc>
        <w:tc>
          <w:tcPr>
            <w:tcW w:w="0" w:type="auto"/>
            <w:tcBorders>
              <w:top w:val="nil"/>
              <w:left w:val="nil"/>
              <w:bottom w:val="single" w:sz="4" w:space="0" w:color="auto"/>
              <w:right w:val="single" w:sz="4" w:space="0" w:color="auto"/>
            </w:tcBorders>
            <w:shd w:val="clear" w:color="000000" w:fill="D9D9D9"/>
            <w:vAlign w:val="center"/>
            <w:hideMark/>
          </w:tcPr>
          <w:p w:rsidR="00BD1AA0" w:rsidRPr="00FF3F3E" w:rsidRDefault="00BD1AA0" w:rsidP="00BD1AA0">
            <w:pPr>
              <w:spacing w:after="0" w:line="276" w:lineRule="auto"/>
              <w:jc w:val="center"/>
              <w:rPr>
                <w:rFonts w:eastAsia="Times New Roman" w:cstheme="minorHAnsi"/>
                <w:b/>
                <w:bCs/>
                <w:sz w:val="20"/>
                <w:szCs w:val="20"/>
              </w:rPr>
            </w:pPr>
            <w:r w:rsidRPr="00FF3F3E">
              <w:rPr>
                <w:rFonts w:eastAsia="Times New Roman" w:cstheme="minorHAnsi"/>
                <w:b/>
                <w:bCs/>
                <w:sz w:val="20"/>
                <w:szCs w:val="20"/>
              </w:rPr>
              <w:t>Art. 41 GBER - lit. A</w:t>
            </w:r>
          </w:p>
        </w:tc>
        <w:tc>
          <w:tcPr>
            <w:tcW w:w="0" w:type="auto"/>
            <w:tcBorders>
              <w:top w:val="nil"/>
              <w:left w:val="nil"/>
              <w:bottom w:val="single" w:sz="4" w:space="0" w:color="auto"/>
              <w:right w:val="single" w:sz="4" w:space="0" w:color="auto"/>
            </w:tcBorders>
            <w:shd w:val="clear" w:color="000000" w:fill="D9D9D9"/>
            <w:vAlign w:val="center"/>
            <w:hideMark/>
          </w:tcPr>
          <w:p w:rsidR="00BD1AA0" w:rsidRPr="00FF3F3E" w:rsidRDefault="00BD1AA0" w:rsidP="00BD1AA0">
            <w:pPr>
              <w:spacing w:after="0" w:line="276" w:lineRule="auto"/>
              <w:rPr>
                <w:rFonts w:eastAsia="Times New Roman" w:cstheme="minorHAnsi"/>
                <w:b/>
                <w:bCs/>
                <w:sz w:val="20"/>
                <w:szCs w:val="20"/>
              </w:rPr>
            </w:pPr>
            <w:r w:rsidRPr="00FF3F3E">
              <w:rPr>
                <w:rFonts w:eastAsia="Times New Roman" w:cstheme="minorHAnsi"/>
                <w:b/>
                <w:bCs/>
                <w:sz w:val="20"/>
                <w:szCs w:val="20"/>
              </w:rPr>
              <w:t>P.1 Środki trwałe</w:t>
            </w:r>
          </w:p>
        </w:tc>
      </w:tr>
      <w:tr w:rsidR="00BD1AA0" w:rsidRPr="00FF3F3E" w:rsidTr="00BD1AA0">
        <w:trPr>
          <w:trHeight w:val="477"/>
        </w:trPr>
        <w:tc>
          <w:tcPr>
            <w:tcW w:w="0" w:type="auto"/>
            <w:tcBorders>
              <w:top w:val="nil"/>
              <w:left w:val="single" w:sz="4" w:space="0" w:color="auto"/>
              <w:bottom w:val="single" w:sz="4" w:space="0" w:color="auto"/>
              <w:right w:val="single" w:sz="4" w:space="0" w:color="auto"/>
            </w:tcBorders>
            <w:shd w:val="clear" w:color="000000" w:fill="C6E0B4"/>
            <w:vAlign w:val="center"/>
            <w:hideMark/>
          </w:tcPr>
          <w:p w:rsidR="00BD1AA0" w:rsidRPr="00FF3F3E" w:rsidRDefault="00BD1AA0" w:rsidP="00BD1AA0">
            <w:pPr>
              <w:spacing w:after="0" w:line="276" w:lineRule="auto"/>
              <w:jc w:val="center"/>
              <w:rPr>
                <w:rFonts w:eastAsia="Times New Roman" w:cstheme="minorHAnsi"/>
                <w:sz w:val="20"/>
                <w:szCs w:val="20"/>
              </w:rPr>
            </w:pPr>
            <w:r w:rsidRPr="00FF3F3E">
              <w:rPr>
                <w:rFonts w:eastAsia="Times New Roman" w:cstheme="minorHAnsi"/>
                <w:sz w:val="20"/>
                <w:szCs w:val="20"/>
              </w:rPr>
              <w:t>3</w:t>
            </w:r>
          </w:p>
        </w:tc>
        <w:tc>
          <w:tcPr>
            <w:tcW w:w="0" w:type="auto"/>
            <w:tcBorders>
              <w:top w:val="nil"/>
              <w:left w:val="nil"/>
              <w:bottom w:val="single" w:sz="4" w:space="0" w:color="auto"/>
              <w:right w:val="single" w:sz="4" w:space="0" w:color="auto"/>
            </w:tcBorders>
            <w:shd w:val="clear" w:color="000000" w:fill="C6E0B4"/>
            <w:vAlign w:val="center"/>
            <w:hideMark/>
          </w:tcPr>
          <w:p w:rsidR="00BD1AA0" w:rsidRPr="00FF3F3E" w:rsidRDefault="00BD1AA0" w:rsidP="00BD1AA0">
            <w:pPr>
              <w:spacing w:after="0" w:line="276" w:lineRule="auto"/>
              <w:rPr>
                <w:rFonts w:eastAsia="Times New Roman" w:cstheme="minorHAnsi"/>
                <w:sz w:val="20"/>
                <w:szCs w:val="20"/>
              </w:rPr>
            </w:pPr>
            <w:r w:rsidRPr="00FF3F3E">
              <w:rPr>
                <w:rFonts w:eastAsia="Times New Roman" w:cstheme="minorHAnsi"/>
                <w:sz w:val="20"/>
                <w:szCs w:val="20"/>
              </w:rPr>
              <w:t>Dokumentacja projektowa dla sieci elektroenergetycznej</w:t>
            </w:r>
          </w:p>
        </w:tc>
        <w:tc>
          <w:tcPr>
            <w:tcW w:w="0" w:type="auto"/>
            <w:tcBorders>
              <w:top w:val="nil"/>
              <w:left w:val="nil"/>
              <w:bottom w:val="single" w:sz="4" w:space="0" w:color="auto"/>
              <w:right w:val="single" w:sz="4" w:space="0" w:color="auto"/>
            </w:tcBorders>
            <w:shd w:val="clear" w:color="000000" w:fill="D9D9D9"/>
            <w:vAlign w:val="center"/>
            <w:hideMark/>
          </w:tcPr>
          <w:p w:rsidR="00BD1AA0" w:rsidRPr="00FF3F3E" w:rsidRDefault="00BD1AA0" w:rsidP="00BD1AA0">
            <w:pPr>
              <w:spacing w:after="0" w:line="276" w:lineRule="auto"/>
              <w:jc w:val="center"/>
              <w:rPr>
                <w:rFonts w:eastAsia="Times New Roman" w:cstheme="minorHAnsi"/>
                <w:b/>
                <w:bCs/>
                <w:sz w:val="20"/>
                <w:szCs w:val="20"/>
              </w:rPr>
            </w:pPr>
            <w:r w:rsidRPr="00FF3F3E">
              <w:rPr>
                <w:rFonts w:eastAsia="Times New Roman" w:cstheme="minorHAnsi"/>
                <w:b/>
                <w:bCs/>
                <w:sz w:val="20"/>
                <w:szCs w:val="20"/>
              </w:rPr>
              <w:t>PDM</w:t>
            </w:r>
          </w:p>
        </w:tc>
        <w:tc>
          <w:tcPr>
            <w:tcW w:w="0" w:type="auto"/>
            <w:tcBorders>
              <w:top w:val="nil"/>
              <w:left w:val="nil"/>
              <w:bottom w:val="single" w:sz="4" w:space="0" w:color="auto"/>
              <w:right w:val="single" w:sz="4" w:space="0" w:color="auto"/>
            </w:tcBorders>
            <w:shd w:val="clear" w:color="000000" w:fill="D9D9D9"/>
            <w:vAlign w:val="center"/>
            <w:hideMark/>
          </w:tcPr>
          <w:p w:rsidR="00BD1AA0" w:rsidRPr="00FF3F3E" w:rsidRDefault="00BD1AA0" w:rsidP="00BD1AA0">
            <w:pPr>
              <w:spacing w:after="0" w:line="276" w:lineRule="auto"/>
              <w:rPr>
                <w:rFonts w:eastAsia="Times New Roman" w:cstheme="minorHAnsi"/>
                <w:b/>
                <w:bCs/>
                <w:sz w:val="20"/>
                <w:szCs w:val="20"/>
              </w:rPr>
            </w:pPr>
            <w:r w:rsidRPr="00FF3F3E">
              <w:rPr>
                <w:rFonts w:eastAsia="Times New Roman" w:cstheme="minorHAnsi"/>
                <w:b/>
                <w:bCs/>
                <w:sz w:val="20"/>
                <w:szCs w:val="20"/>
              </w:rPr>
              <w:t>P.7 Przygotowanie dokumentacji projektu</w:t>
            </w:r>
          </w:p>
        </w:tc>
      </w:tr>
      <w:tr w:rsidR="00BD1AA0" w:rsidRPr="00FF3F3E" w:rsidTr="00BD1AA0">
        <w:trPr>
          <w:trHeight w:val="477"/>
        </w:trPr>
        <w:tc>
          <w:tcPr>
            <w:tcW w:w="0" w:type="auto"/>
            <w:tcBorders>
              <w:top w:val="nil"/>
              <w:left w:val="single" w:sz="4" w:space="0" w:color="auto"/>
              <w:bottom w:val="single" w:sz="4" w:space="0" w:color="auto"/>
              <w:right w:val="single" w:sz="4" w:space="0" w:color="auto"/>
            </w:tcBorders>
            <w:shd w:val="clear" w:color="000000" w:fill="C6E0B4"/>
            <w:vAlign w:val="center"/>
          </w:tcPr>
          <w:p w:rsidR="00BD1AA0" w:rsidRPr="00FF3F3E" w:rsidRDefault="00BD1AA0" w:rsidP="00BD1AA0">
            <w:pPr>
              <w:spacing w:after="0" w:line="276" w:lineRule="auto"/>
              <w:jc w:val="center"/>
              <w:rPr>
                <w:rFonts w:eastAsia="Times New Roman" w:cstheme="minorHAnsi"/>
                <w:sz w:val="20"/>
                <w:szCs w:val="20"/>
              </w:rPr>
            </w:pPr>
            <w:r w:rsidRPr="00FF3F3E">
              <w:rPr>
                <w:rFonts w:eastAsia="Times New Roman" w:cstheme="minorHAnsi"/>
                <w:sz w:val="20"/>
                <w:szCs w:val="20"/>
              </w:rPr>
              <w:t>4</w:t>
            </w:r>
          </w:p>
        </w:tc>
        <w:tc>
          <w:tcPr>
            <w:tcW w:w="0" w:type="auto"/>
            <w:tcBorders>
              <w:top w:val="nil"/>
              <w:left w:val="nil"/>
              <w:bottom w:val="single" w:sz="4" w:space="0" w:color="auto"/>
              <w:right w:val="single" w:sz="4" w:space="0" w:color="auto"/>
            </w:tcBorders>
            <w:shd w:val="clear" w:color="000000" w:fill="C6E0B4"/>
            <w:vAlign w:val="center"/>
          </w:tcPr>
          <w:p w:rsidR="00BD1AA0" w:rsidRPr="00FF3F3E" w:rsidRDefault="00BD1AA0" w:rsidP="00BD1AA0">
            <w:pPr>
              <w:spacing w:after="0" w:line="276" w:lineRule="auto"/>
              <w:rPr>
                <w:rFonts w:eastAsia="Times New Roman" w:cstheme="minorHAnsi"/>
                <w:sz w:val="20"/>
                <w:szCs w:val="20"/>
              </w:rPr>
            </w:pPr>
            <w:r w:rsidRPr="00FF3F3E">
              <w:rPr>
                <w:rFonts w:eastAsia="Times New Roman" w:cstheme="minorHAnsi"/>
                <w:sz w:val="20"/>
                <w:szCs w:val="20"/>
              </w:rPr>
              <w:t>Audyt energetyczny</w:t>
            </w:r>
          </w:p>
        </w:tc>
        <w:tc>
          <w:tcPr>
            <w:tcW w:w="0" w:type="auto"/>
            <w:tcBorders>
              <w:top w:val="nil"/>
              <w:left w:val="nil"/>
              <w:bottom w:val="single" w:sz="4" w:space="0" w:color="auto"/>
              <w:right w:val="single" w:sz="4" w:space="0" w:color="auto"/>
            </w:tcBorders>
            <w:shd w:val="clear" w:color="000000" w:fill="D9D9D9"/>
            <w:vAlign w:val="center"/>
          </w:tcPr>
          <w:p w:rsidR="00BD1AA0" w:rsidRPr="00FF3F3E" w:rsidRDefault="00BD1AA0" w:rsidP="00BD1AA0">
            <w:pPr>
              <w:spacing w:after="0" w:line="276" w:lineRule="auto"/>
              <w:jc w:val="center"/>
              <w:rPr>
                <w:rFonts w:eastAsia="Times New Roman" w:cstheme="minorHAnsi"/>
                <w:b/>
                <w:bCs/>
                <w:sz w:val="20"/>
                <w:szCs w:val="20"/>
              </w:rPr>
            </w:pPr>
            <w:r w:rsidRPr="00FF3F3E">
              <w:rPr>
                <w:rFonts w:eastAsia="Times New Roman" w:cstheme="minorHAnsi"/>
                <w:b/>
                <w:bCs/>
                <w:sz w:val="20"/>
                <w:szCs w:val="20"/>
              </w:rPr>
              <w:t>PDM</w:t>
            </w:r>
          </w:p>
        </w:tc>
        <w:tc>
          <w:tcPr>
            <w:tcW w:w="0" w:type="auto"/>
            <w:tcBorders>
              <w:top w:val="nil"/>
              <w:left w:val="nil"/>
              <w:bottom w:val="single" w:sz="4" w:space="0" w:color="auto"/>
              <w:right w:val="single" w:sz="4" w:space="0" w:color="auto"/>
            </w:tcBorders>
            <w:shd w:val="clear" w:color="000000" w:fill="D9D9D9"/>
            <w:vAlign w:val="center"/>
          </w:tcPr>
          <w:p w:rsidR="00BD1AA0" w:rsidRPr="00FF3F3E" w:rsidRDefault="00BD1AA0" w:rsidP="00BD1AA0">
            <w:pPr>
              <w:spacing w:after="0" w:line="276" w:lineRule="auto"/>
              <w:rPr>
                <w:rFonts w:eastAsia="Times New Roman" w:cstheme="minorHAnsi"/>
                <w:b/>
                <w:bCs/>
                <w:sz w:val="20"/>
                <w:szCs w:val="20"/>
              </w:rPr>
            </w:pPr>
            <w:r w:rsidRPr="00FF3F3E">
              <w:rPr>
                <w:rFonts w:eastAsia="Times New Roman" w:cstheme="minorHAnsi"/>
                <w:b/>
                <w:bCs/>
                <w:sz w:val="20"/>
                <w:szCs w:val="20"/>
              </w:rPr>
              <w:t>P.7 Przygotowanie dokumentacji projektu</w:t>
            </w:r>
          </w:p>
        </w:tc>
      </w:tr>
      <w:tr w:rsidR="00BD1AA0" w:rsidRPr="00FF3F3E" w:rsidTr="00BD1AA0">
        <w:trPr>
          <w:trHeight w:val="469"/>
        </w:trPr>
        <w:tc>
          <w:tcPr>
            <w:tcW w:w="0" w:type="auto"/>
            <w:tcBorders>
              <w:top w:val="nil"/>
              <w:left w:val="single" w:sz="4" w:space="0" w:color="auto"/>
              <w:bottom w:val="single" w:sz="4" w:space="0" w:color="auto"/>
              <w:right w:val="single" w:sz="4" w:space="0" w:color="auto"/>
            </w:tcBorders>
            <w:shd w:val="clear" w:color="000000" w:fill="C6E0B4"/>
            <w:vAlign w:val="center"/>
            <w:hideMark/>
          </w:tcPr>
          <w:p w:rsidR="00BD1AA0" w:rsidRPr="00FF3F3E" w:rsidRDefault="00BD1AA0" w:rsidP="00BD1AA0">
            <w:pPr>
              <w:spacing w:after="0" w:line="276" w:lineRule="auto"/>
              <w:jc w:val="center"/>
              <w:rPr>
                <w:rFonts w:eastAsia="Times New Roman" w:cstheme="minorHAnsi"/>
                <w:sz w:val="20"/>
                <w:szCs w:val="20"/>
              </w:rPr>
            </w:pPr>
            <w:r w:rsidRPr="00FF3F3E">
              <w:rPr>
                <w:rFonts w:eastAsia="Times New Roman" w:cstheme="minorHAnsi"/>
                <w:sz w:val="20"/>
                <w:szCs w:val="20"/>
              </w:rPr>
              <w:t>5</w:t>
            </w:r>
          </w:p>
        </w:tc>
        <w:tc>
          <w:tcPr>
            <w:tcW w:w="0" w:type="auto"/>
            <w:tcBorders>
              <w:top w:val="nil"/>
              <w:left w:val="nil"/>
              <w:bottom w:val="single" w:sz="4" w:space="0" w:color="auto"/>
              <w:right w:val="single" w:sz="4" w:space="0" w:color="auto"/>
            </w:tcBorders>
            <w:shd w:val="clear" w:color="000000" w:fill="C6E0B4"/>
            <w:vAlign w:val="center"/>
            <w:hideMark/>
          </w:tcPr>
          <w:p w:rsidR="00BD1AA0" w:rsidRPr="00FF3F3E" w:rsidRDefault="00BD1AA0" w:rsidP="00BD1AA0">
            <w:pPr>
              <w:spacing w:after="0" w:line="276" w:lineRule="auto"/>
              <w:rPr>
                <w:rFonts w:eastAsia="Times New Roman" w:cstheme="minorHAnsi"/>
                <w:sz w:val="20"/>
                <w:szCs w:val="20"/>
              </w:rPr>
            </w:pPr>
            <w:r w:rsidRPr="00FF3F3E">
              <w:rPr>
                <w:rFonts w:eastAsia="Times New Roman" w:cstheme="minorHAnsi"/>
                <w:sz w:val="20"/>
                <w:szCs w:val="20"/>
              </w:rPr>
              <w:t xml:space="preserve">wynagrodzenie kierownika projektu  </w:t>
            </w:r>
          </w:p>
        </w:tc>
        <w:tc>
          <w:tcPr>
            <w:tcW w:w="0" w:type="auto"/>
            <w:tcBorders>
              <w:top w:val="nil"/>
              <w:left w:val="nil"/>
              <w:bottom w:val="single" w:sz="4" w:space="0" w:color="auto"/>
              <w:right w:val="single" w:sz="4" w:space="0" w:color="auto"/>
            </w:tcBorders>
            <w:shd w:val="clear" w:color="000000" w:fill="D9D9D9"/>
            <w:vAlign w:val="center"/>
            <w:hideMark/>
          </w:tcPr>
          <w:p w:rsidR="00BD1AA0" w:rsidRPr="00FF3F3E" w:rsidRDefault="00BD1AA0" w:rsidP="00BD1AA0">
            <w:pPr>
              <w:spacing w:after="0" w:line="276" w:lineRule="auto"/>
              <w:jc w:val="center"/>
              <w:rPr>
                <w:rFonts w:eastAsia="Times New Roman" w:cstheme="minorHAnsi"/>
                <w:b/>
                <w:bCs/>
                <w:sz w:val="20"/>
                <w:szCs w:val="20"/>
              </w:rPr>
            </w:pPr>
            <w:r w:rsidRPr="00FF3F3E">
              <w:rPr>
                <w:rFonts w:eastAsia="Times New Roman" w:cstheme="minorHAnsi"/>
                <w:b/>
                <w:bCs/>
                <w:sz w:val="20"/>
                <w:szCs w:val="20"/>
              </w:rPr>
              <w:t>PDM</w:t>
            </w:r>
          </w:p>
        </w:tc>
        <w:tc>
          <w:tcPr>
            <w:tcW w:w="0" w:type="auto"/>
            <w:tcBorders>
              <w:top w:val="nil"/>
              <w:left w:val="nil"/>
              <w:bottom w:val="single" w:sz="4" w:space="0" w:color="auto"/>
              <w:right w:val="single" w:sz="4" w:space="0" w:color="auto"/>
            </w:tcBorders>
            <w:shd w:val="clear" w:color="000000" w:fill="D9D9D9"/>
            <w:vAlign w:val="center"/>
            <w:hideMark/>
          </w:tcPr>
          <w:p w:rsidR="00BD1AA0" w:rsidRPr="00FF3F3E" w:rsidRDefault="00BD1AA0" w:rsidP="00BD1AA0">
            <w:pPr>
              <w:spacing w:after="0" w:line="276" w:lineRule="auto"/>
              <w:rPr>
                <w:rFonts w:eastAsia="Times New Roman" w:cstheme="minorHAnsi"/>
                <w:b/>
                <w:bCs/>
                <w:sz w:val="20"/>
                <w:szCs w:val="20"/>
              </w:rPr>
            </w:pPr>
            <w:r w:rsidRPr="00FF3F3E">
              <w:rPr>
                <w:rFonts w:eastAsia="Times New Roman" w:cstheme="minorHAnsi"/>
                <w:b/>
                <w:bCs/>
                <w:sz w:val="20"/>
                <w:szCs w:val="20"/>
              </w:rPr>
              <w:t>P.9.1 Koszty osobowe związane z zarządzaniem projektem</w:t>
            </w:r>
          </w:p>
        </w:tc>
      </w:tr>
      <w:tr w:rsidR="00BD1AA0" w:rsidRPr="00FF3F3E" w:rsidTr="00BD1AA0">
        <w:trPr>
          <w:trHeight w:val="477"/>
        </w:trPr>
        <w:tc>
          <w:tcPr>
            <w:tcW w:w="0" w:type="auto"/>
            <w:tcBorders>
              <w:top w:val="nil"/>
              <w:left w:val="single" w:sz="4" w:space="0" w:color="auto"/>
              <w:bottom w:val="single" w:sz="4" w:space="0" w:color="auto"/>
              <w:right w:val="single" w:sz="4" w:space="0" w:color="auto"/>
            </w:tcBorders>
            <w:shd w:val="clear" w:color="000000" w:fill="C6E0B4"/>
            <w:vAlign w:val="center"/>
            <w:hideMark/>
          </w:tcPr>
          <w:p w:rsidR="00BD1AA0" w:rsidRPr="00FF3F3E" w:rsidRDefault="00BD1AA0" w:rsidP="00BD1AA0">
            <w:pPr>
              <w:spacing w:after="0" w:line="276" w:lineRule="auto"/>
              <w:jc w:val="center"/>
              <w:rPr>
                <w:rFonts w:eastAsia="Times New Roman" w:cstheme="minorHAnsi"/>
                <w:sz w:val="20"/>
                <w:szCs w:val="20"/>
              </w:rPr>
            </w:pPr>
            <w:r w:rsidRPr="00FF3F3E">
              <w:rPr>
                <w:rFonts w:eastAsia="Times New Roman" w:cstheme="minorHAnsi"/>
                <w:sz w:val="20"/>
                <w:szCs w:val="20"/>
              </w:rPr>
              <w:t>6</w:t>
            </w:r>
          </w:p>
        </w:tc>
        <w:tc>
          <w:tcPr>
            <w:tcW w:w="0" w:type="auto"/>
            <w:tcBorders>
              <w:top w:val="nil"/>
              <w:left w:val="nil"/>
              <w:bottom w:val="single" w:sz="4" w:space="0" w:color="auto"/>
              <w:right w:val="single" w:sz="4" w:space="0" w:color="auto"/>
            </w:tcBorders>
            <w:shd w:val="clear" w:color="000000" w:fill="C6E0B4"/>
            <w:vAlign w:val="center"/>
            <w:hideMark/>
          </w:tcPr>
          <w:p w:rsidR="00BD1AA0" w:rsidRPr="00FF3F3E" w:rsidRDefault="00BD1AA0" w:rsidP="00BD1AA0">
            <w:pPr>
              <w:spacing w:after="0" w:line="276" w:lineRule="auto"/>
              <w:rPr>
                <w:rFonts w:eastAsia="Times New Roman" w:cstheme="minorHAnsi"/>
                <w:sz w:val="20"/>
                <w:szCs w:val="20"/>
              </w:rPr>
            </w:pPr>
            <w:r w:rsidRPr="00FF3F3E">
              <w:rPr>
                <w:rFonts w:eastAsia="Times New Roman" w:cstheme="minorHAnsi"/>
                <w:sz w:val="20"/>
                <w:szCs w:val="20"/>
              </w:rPr>
              <w:t xml:space="preserve">wynagrodzenie osoby rozliczającej projekt </w:t>
            </w:r>
          </w:p>
        </w:tc>
        <w:tc>
          <w:tcPr>
            <w:tcW w:w="0" w:type="auto"/>
            <w:tcBorders>
              <w:top w:val="nil"/>
              <w:left w:val="nil"/>
              <w:bottom w:val="single" w:sz="4" w:space="0" w:color="auto"/>
              <w:right w:val="single" w:sz="4" w:space="0" w:color="auto"/>
            </w:tcBorders>
            <w:shd w:val="clear" w:color="000000" w:fill="D9D9D9"/>
            <w:vAlign w:val="center"/>
            <w:hideMark/>
          </w:tcPr>
          <w:p w:rsidR="00BD1AA0" w:rsidRPr="00FF3F3E" w:rsidRDefault="00BD1AA0" w:rsidP="00BD1AA0">
            <w:pPr>
              <w:spacing w:after="0" w:line="276" w:lineRule="auto"/>
              <w:jc w:val="center"/>
              <w:rPr>
                <w:rFonts w:eastAsia="Times New Roman" w:cstheme="minorHAnsi"/>
                <w:b/>
                <w:bCs/>
                <w:sz w:val="20"/>
                <w:szCs w:val="20"/>
              </w:rPr>
            </w:pPr>
            <w:r w:rsidRPr="00FF3F3E">
              <w:rPr>
                <w:rFonts w:eastAsia="Times New Roman" w:cstheme="minorHAnsi"/>
                <w:b/>
                <w:bCs/>
                <w:sz w:val="20"/>
                <w:szCs w:val="20"/>
              </w:rPr>
              <w:t>PDM</w:t>
            </w:r>
          </w:p>
        </w:tc>
        <w:tc>
          <w:tcPr>
            <w:tcW w:w="0" w:type="auto"/>
            <w:tcBorders>
              <w:top w:val="nil"/>
              <w:left w:val="nil"/>
              <w:bottom w:val="single" w:sz="4" w:space="0" w:color="auto"/>
              <w:right w:val="single" w:sz="4" w:space="0" w:color="auto"/>
            </w:tcBorders>
            <w:shd w:val="clear" w:color="000000" w:fill="D9D9D9"/>
            <w:vAlign w:val="center"/>
            <w:hideMark/>
          </w:tcPr>
          <w:p w:rsidR="00BD1AA0" w:rsidRPr="00FF3F3E" w:rsidRDefault="00BD1AA0" w:rsidP="00BD1AA0">
            <w:pPr>
              <w:spacing w:after="0" w:line="276" w:lineRule="auto"/>
              <w:rPr>
                <w:rFonts w:eastAsia="Times New Roman" w:cstheme="minorHAnsi"/>
                <w:b/>
                <w:bCs/>
                <w:sz w:val="20"/>
                <w:szCs w:val="20"/>
              </w:rPr>
            </w:pPr>
            <w:r w:rsidRPr="00FF3F3E">
              <w:rPr>
                <w:rFonts w:eastAsia="Times New Roman" w:cstheme="minorHAnsi"/>
                <w:b/>
                <w:bCs/>
                <w:sz w:val="20"/>
                <w:szCs w:val="20"/>
              </w:rPr>
              <w:t>P.9.1 Koszty osobowe związane z zarządzaniem projektem</w:t>
            </w:r>
          </w:p>
        </w:tc>
      </w:tr>
      <w:tr w:rsidR="00BD1AA0" w:rsidRPr="00FF3F3E" w:rsidTr="00BD1AA0">
        <w:trPr>
          <w:trHeight w:val="260"/>
        </w:trPr>
        <w:tc>
          <w:tcPr>
            <w:tcW w:w="0" w:type="auto"/>
            <w:tcBorders>
              <w:top w:val="nil"/>
              <w:left w:val="single" w:sz="4" w:space="0" w:color="auto"/>
              <w:bottom w:val="single" w:sz="4" w:space="0" w:color="auto"/>
              <w:right w:val="single" w:sz="4" w:space="0" w:color="auto"/>
            </w:tcBorders>
            <w:shd w:val="clear" w:color="000000" w:fill="C6E0B4"/>
            <w:vAlign w:val="center"/>
            <w:hideMark/>
          </w:tcPr>
          <w:p w:rsidR="00BD1AA0" w:rsidRPr="00FF3F3E" w:rsidRDefault="00BD1AA0" w:rsidP="00BD1AA0">
            <w:pPr>
              <w:spacing w:after="0" w:line="276" w:lineRule="auto"/>
              <w:jc w:val="center"/>
              <w:rPr>
                <w:rFonts w:eastAsia="Times New Roman" w:cstheme="minorHAnsi"/>
                <w:sz w:val="20"/>
                <w:szCs w:val="20"/>
              </w:rPr>
            </w:pPr>
            <w:r w:rsidRPr="00FF3F3E">
              <w:rPr>
                <w:rFonts w:eastAsia="Times New Roman" w:cstheme="minorHAnsi"/>
                <w:sz w:val="20"/>
                <w:szCs w:val="20"/>
              </w:rPr>
              <w:t>7</w:t>
            </w:r>
          </w:p>
        </w:tc>
        <w:tc>
          <w:tcPr>
            <w:tcW w:w="0" w:type="auto"/>
            <w:tcBorders>
              <w:top w:val="nil"/>
              <w:left w:val="nil"/>
              <w:bottom w:val="single" w:sz="4" w:space="0" w:color="auto"/>
              <w:right w:val="single" w:sz="4" w:space="0" w:color="auto"/>
            </w:tcBorders>
            <w:shd w:val="clear" w:color="000000" w:fill="C6E0B4"/>
            <w:vAlign w:val="center"/>
            <w:hideMark/>
          </w:tcPr>
          <w:p w:rsidR="00BD1AA0" w:rsidRPr="00FF3F3E" w:rsidRDefault="00BD1AA0" w:rsidP="00BD1AA0">
            <w:pPr>
              <w:spacing w:after="0" w:line="276" w:lineRule="auto"/>
              <w:rPr>
                <w:rFonts w:eastAsia="Times New Roman" w:cstheme="minorHAnsi"/>
                <w:sz w:val="20"/>
                <w:szCs w:val="20"/>
              </w:rPr>
            </w:pPr>
            <w:r w:rsidRPr="00FF3F3E">
              <w:rPr>
                <w:rFonts w:eastAsia="Times New Roman" w:cstheme="minorHAnsi"/>
                <w:sz w:val="20"/>
                <w:szCs w:val="20"/>
              </w:rPr>
              <w:t xml:space="preserve">tablica informacyjna </w:t>
            </w:r>
          </w:p>
        </w:tc>
        <w:tc>
          <w:tcPr>
            <w:tcW w:w="0" w:type="auto"/>
            <w:tcBorders>
              <w:top w:val="nil"/>
              <w:left w:val="nil"/>
              <w:bottom w:val="single" w:sz="4" w:space="0" w:color="auto"/>
              <w:right w:val="single" w:sz="4" w:space="0" w:color="auto"/>
            </w:tcBorders>
            <w:shd w:val="clear" w:color="000000" w:fill="D9D9D9"/>
            <w:vAlign w:val="center"/>
            <w:hideMark/>
          </w:tcPr>
          <w:p w:rsidR="00BD1AA0" w:rsidRPr="00FF3F3E" w:rsidRDefault="00BD1AA0" w:rsidP="00BD1AA0">
            <w:pPr>
              <w:spacing w:after="0" w:line="276" w:lineRule="auto"/>
              <w:jc w:val="center"/>
              <w:rPr>
                <w:rFonts w:eastAsia="Times New Roman" w:cstheme="minorHAnsi"/>
                <w:b/>
                <w:bCs/>
                <w:sz w:val="20"/>
                <w:szCs w:val="20"/>
              </w:rPr>
            </w:pPr>
            <w:r w:rsidRPr="00FF3F3E">
              <w:rPr>
                <w:rFonts w:eastAsia="Times New Roman" w:cstheme="minorHAnsi"/>
                <w:b/>
                <w:bCs/>
                <w:sz w:val="20"/>
                <w:szCs w:val="20"/>
              </w:rPr>
              <w:t>PDM</w:t>
            </w:r>
          </w:p>
        </w:tc>
        <w:tc>
          <w:tcPr>
            <w:tcW w:w="0" w:type="auto"/>
            <w:tcBorders>
              <w:top w:val="nil"/>
              <w:left w:val="nil"/>
              <w:bottom w:val="single" w:sz="4" w:space="0" w:color="auto"/>
              <w:right w:val="single" w:sz="4" w:space="0" w:color="auto"/>
            </w:tcBorders>
            <w:shd w:val="clear" w:color="000000" w:fill="D9D9D9"/>
            <w:vAlign w:val="center"/>
            <w:hideMark/>
          </w:tcPr>
          <w:p w:rsidR="00BD1AA0" w:rsidRPr="00FF3F3E" w:rsidRDefault="00BD1AA0" w:rsidP="00BD1AA0">
            <w:pPr>
              <w:spacing w:after="0" w:line="276" w:lineRule="auto"/>
              <w:rPr>
                <w:rFonts w:eastAsia="Times New Roman" w:cstheme="minorHAnsi"/>
                <w:b/>
                <w:bCs/>
                <w:sz w:val="20"/>
                <w:szCs w:val="20"/>
              </w:rPr>
            </w:pPr>
            <w:r w:rsidRPr="00FF3F3E">
              <w:rPr>
                <w:rFonts w:eastAsia="Times New Roman" w:cstheme="minorHAnsi"/>
                <w:b/>
                <w:bCs/>
                <w:sz w:val="20"/>
                <w:szCs w:val="20"/>
              </w:rPr>
              <w:t>P.14  Informacja i promocja</w:t>
            </w:r>
          </w:p>
        </w:tc>
      </w:tr>
    </w:tbl>
    <w:p w:rsidR="00BD1AA0" w:rsidRPr="00FF3F3E" w:rsidRDefault="00BD1AA0" w:rsidP="00BD1AA0">
      <w:pPr>
        <w:spacing w:after="0" w:line="276" w:lineRule="auto"/>
        <w:jc w:val="both"/>
        <w:rPr>
          <w:rFonts w:eastAsia="Calibri" w:cstheme="minorHAnsi"/>
          <w:bCs/>
          <w:sz w:val="20"/>
          <w:szCs w:val="20"/>
        </w:rPr>
      </w:pPr>
      <w:r w:rsidRPr="00FF3F3E">
        <w:rPr>
          <w:rFonts w:cstheme="minorHAnsi"/>
          <w:sz w:val="20"/>
          <w:szCs w:val="20"/>
        </w:rPr>
        <w:t>*Przykład dotyczy części projektu, którego podstawą udzielenia jest pomoc publiczna/de minimis</w:t>
      </w:r>
    </w:p>
    <w:p w:rsidR="004272D9" w:rsidRPr="00FF3F3E" w:rsidRDefault="004272D9" w:rsidP="0008052E">
      <w:pPr>
        <w:spacing w:after="0" w:line="240" w:lineRule="auto"/>
        <w:jc w:val="both"/>
        <w:rPr>
          <w:rFonts w:cstheme="minorHAnsi"/>
          <w:sz w:val="20"/>
          <w:szCs w:val="20"/>
        </w:rPr>
      </w:pPr>
    </w:p>
    <w:p w:rsidR="00761F46" w:rsidRPr="00FF3F3E" w:rsidRDefault="00761F46" w:rsidP="00761F46">
      <w:pPr>
        <w:pStyle w:val="ListParagraph"/>
        <w:numPr>
          <w:ilvl w:val="0"/>
          <w:numId w:val="1"/>
        </w:numPr>
        <w:spacing w:after="0" w:line="240" w:lineRule="auto"/>
        <w:jc w:val="both"/>
        <w:rPr>
          <w:rFonts w:cstheme="minorHAnsi"/>
          <w:sz w:val="20"/>
          <w:szCs w:val="20"/>
        </w:rPr>
      </w:pPr>
      <w:r w:rsidRPr="00FF3F3E">
        <w:rPr>
          <w:rFonts w:cstheme="minorHAnsi"/>
          <w:sz w:val="20"/>
          <w:szCs w:val="20"/>
        </w:rPr>
        <w:t xml:space="preserve">Po wypełnieniu wszystkich wydatków w Tabeli 5 oraz przyporządkowaniu ich do odpowiedniego rodzaju pomocy publicznej należy wypełnić Tabelę 4: Wyliczenie kosztów kwalifikowalnych zgodnie z </w:t>
      </w:r>
      <w:r w:rsidR="00BD1AA0" w:rsidRPr="00FF3F3E">
        <w:rPr>
          <w:rFonts w:cstheme="minorHAnsi"/>
          <w:b/>
          <w:bCs/>
          <w:sz w:val="20"/>
          <w:szCs w:val="20"/>
          <w:u w:val="single"/>
        </w:rPr>
        <w:t>A</w:t>
      </w:r>
      <w:r w:rsidRPr="00FF3F3E">
        <w:rPr>
          <w:rFonts w:cstheme="minorHAnsi"/>
          <w:b/>
          <w:bCs/>
          <w:sz w:val="20"/>
          <w:szCs w:val="20"/>
          <w:u w:val="single"/>
        </w:rPr>
        <w:t xml:space="preserve">rt. 41 </w:t>
      </w:r>
      <w:r w:rsidR="00BD1AA0" w:rsidRPr="00FF3F3E">
        <w:rPr>
          <w:rFonts w:cstheme="minorHAnsi"/>
          <w:b/>
          <w:bCs/>
          <w:sz w:val="20"/>
          <w:szCs w:val="20"/>
          <w:u w:val="single"/>
        </w:rPr>
        <w:t xml:space="preserve">GBER </w:t>
      </w:r>
      <w:r w:rsidR="0081182C" w:rsidRPr="0081182C">
        <w:rPr>
          <w:rFonts w:cstheme="minorHAnsi"/>
          <w:b/>
          <w:bCs/>
          <w:sz w:val="20"/>
          <w:szCs w:val="20"/>
          <w:u w:val="single"/>
        </w:rPr>
        <w:t xml:space="preserve">ust. 6 </w:t>
      </w:r>
      <w:r w:rsidRPr="00FF3F3E">
        <w:rPr>
          <w:rFonts w:cstheme="minorHAnsi"/>
          <w:b/>
          <w:bCs/>
          <w:sz w:val="20"/>
          <w:szCs w:val="20"/>
          <w:u w:val="single"/>
        </w:rPr>
        <w:t>Lit. B</w:t>
      </w:r>
      <w:r w:rsidRPr="00FF3F3E">
        <w:rPr>
          <w:rFonts w:cstheme="minorHAnsi"/>
          <w:sz w:val="20"/>
          <w:szCs w:val="20"/>
        </w:rPr>
        <w:t xml:space="preserve">. Jeśli zadeklarowano wydatki ponoszone w ramach </w:t>
      </w:r>
      <w:r w:rsidR="00BD1AA0" w:rsidRPr="00FF3F3E">
        <w:rPr>
          <w:rFonts w:cstheme="minorHAnsi"/>
          <w:b/>
          <w:bCs/>
          <w:sz w:val="20"/>
          <w:szCs w:val="20"/>
          <w:u w:val="single"/>
        </w:rPr>
        <w:t>A</w:t>
      </w:r>
      <w:r w:rsidRPr="00FF3F3E">
        <w:rPr>
          <w:rFonts w:cstheme="minorHAnsi"/>
          <w:b/>
          <w:bCs/>
          <w:sz w:val="20"/>
          <w:szCs w:val="20"/>
          <w:u w:val="single"/>
        </w:rPr>
        <w:t>rt. 41</w:t>
      </w:r>
      <w:r w:rsidR="00BD1AA0" w:rsidRPr="00FF3F3E">
        <w:rPr>
          <w:rFonts w:cstheme="minorHAnsi"/>
          <w:b/>
          <w:bCs/>
          <w:sz w:val="20"/>
          <w:szCs w:val="20"/>
          <w:u w:val="single"/>
        </w:rPr>
        <w:t xml:space="preserve"> GBER</w:t>
      </w:r>
      <w:r w:rsidRPr="00FF3F3E">
        <w:rPr>
          <w:rFonts w:cstheme="minorHAnsi"/>
          <w:b/>
          <w:bCs/>
          <w:sz w:val="20"/>
          <w:szCs w:val="20"/>
          <w:u w:val="single"/>
        </w:rPr>
        <w:t xml:space="preserve"> </w:t>
      </w:r>
      <w:r w:rsidR="0081182C" w:rsidRPr="0081182C">
        <w:rPr>
          <w:rFonts w:cstheme="minorHAnsi"/>
          <w:b/>
          <w:bCs/>
          <w:sz w:val="20"/>
          <w:szCs w:val="20"/>
          <w:u w:val="single"/>
        </w:rPr>
        <w:t xml:space="preserve">ust. 6 </w:t>
      </w:r>
      <w:r w:rsidRPr="00FF3F3E">
        <w:rPr>
          <w:rFonts w:cstheme="minorHAnsi"/>
          <w:b/>
          <w:bCs/>
          <w:sz w:val="20"/>
          <w:szCs w:val="20"/>
          <w:u w:val="single"/>
        </w:rPr>
        <w:t>Lit. B</w:t>
      </w:r>
      <w:r w:rsidRPr="00FF3F3E">
        <w:rPr>
          <w:rFonts w:cstheme="minorHAnsi"/>
          <w:sz w:val="20"/>
          <w:szCs w:val="20"/>
        </w:rPr>
        <w:t>, należy dokonać porównania tych wydatków z inwestycja referencyjną.</w:t>
      </w:r>
    </w:p>
    <w:p w:rsidR="00761F46" w:rsidRPr="00FF3F3E" w:rsidRDefault="00761F46" w:rsidP="00761F46">
      <w:pPr>
        <w:spacing w:after="0" w:line="240" w:lineRule="auto"/>
        <w:jc w:val="both"/>
        <w:rPr>
          <w:rFonts w:cstheme="minorHAnsi"/>
          <w:sz w:val="20"/>
          <w:szCs w:val="20"/>
        </w:rPr>
      </w:pPr>
    </w:p>
    <w:p w:rsidR="00761F46" w:rsidRPr="00FF3F3E" w:rsidRDefault="00761F46" w:rsidP="00761F46">
      <w:pPr>
        <w:spacing w:after="0" w:line="240" w:lineRule="auto"/>
        <w:jc w:val="both"/>
        <w:rPr>
          <w:rFonts w:cstheme="minorHAnsi"/>
          <w:sz w:val="20"/>
          <w:szCs w:val="20"/>
        </w:rPr>
      </w:pPr>
      <w:r w:rsidRPr="00FF3F3E">
        <w:rPr>
          <w:rFonts w:cstheme="minorHAnsi"/>
          <w:sz w:val="20"/>
          <w:szCs w:val="20"/>
        </w:rPr>
        <w:t xml:space="preserve">Przykładowy budżet, w ramach którego ponoszone są wydatki z </w:t>
      </w:r>
      <w:r w:rsidR="00BD1AA0" w:rsidRPr="00FF3F3E">
        <w:rPr>
          <w:rFonts w:cstheme="minorHAnsi"/>
          <w:sz w:val="20"/>
          <w:szCs w:val="20"/>
        </w:rPr>
        <w:t>A</w:t>
      </w:r>
      <w:r w:rsidRPr="00FF3F3E">
        <w:rPr>
          <w:rFonts w:cstheme="minorHAnsi"/>
          <w:sz w:val="20"/>
          <w:szCs w:val="20"/>
        </w:rPr>
        <w:t xml:space="preserve">rt. 41 </w:t>
      </w:r>
      <w:r w:rsidR="00BD1AA0" w:rsidRPr="00FF3F3E">
        <w:rPr>
          <w:rFonts w:cstheme="minorHAnsi"/>
          <w:sz w:val="20"/>
          <w:szCs w:val="20"/>
        </w:rPr>
        <w:t xml:space="preserve">GBER </w:t>
      </w:r>
      <w:r w:rsidR="0081182C" w:rsidRPr="0081182C">
        <w:rPr>
          <w:rFonts w:cstheme="minorHAnsi"/>
          <w:sz w:val="20"/>
          <w:szCs w:val="20"/>
        </w:rPr>
        <w:t xml:space="preserve">ust. 6 </w:t>
      </w:r>
      <w:r w:rsidR="0081182C">
        <w:rPr>
          <w:rFonts w:cstheme="minorHAnsi"/>
          <w:sz w:val="20"/>
          <w:szCs w:val="20"/>
        </w:rPr>
        <w:t>Lit. B oraz pomoc</w:t>
      </w:r>
      <w:r w:rsidRPr="00FF3F3E">
        <w:rPr>
          <w:rFonts w:cstheme="minorHAnsi"/>
          <w:sz w:val="20"/>
          <w:szCs w:val="20"/>
        </w:rPr>
        <w:t xml:space="preserve"> de</w:t>
      </w:r>
      <w:r w:rsidR="001762BB" w:rsidRPr="00FF3F3E">
        <w:rPr>
          <w:rFonts w:cstheme="minorHAnsi"/>
          <w:sz w:val="20"/>
          <w:szCs w:val="20"/>
        </w:rPr>
        <w:t xml:space="preserve"> </w:t>
      </w:r>
      <w:r w:rsidRPr="00FF3F3E">
        <w:rPr>
          <w:rFonts w:cstheme="minorHAnsi"/>
          <w:sz w:val="20"/>
          <w:szCs w:val="20"/>
        </w:rPr>
        <w:t>minimis:</w:t>
      </w:r>
    </w:p>
    <w:p w:rsidR="00761F46" w:rsidRPr="00FF3F3E" w:rsidRDefault="001762BB" w:rsidP="00761F46">
      <w:pPr>
        <w:spacing w:after="0" w:line="240" w:lineRule="auto"/>
        <w:jc w:val="both"/>
        <w:rPr>
          <w:rFonts w:cstheme="minorHAnsi"/>
          <w:sz w:val="20"/>
          <w:szCs w:val="20"/>
        </w:rPr>
      </w:pPr>
      <w:r w:rsidRPr="00FF3F3E">
        <w:rPr>
          <w:rFonts w:cstheme="minorHAnsi"/>
          <w:noProof/>
          <w:sz w:val="20"/>
          <w:szCs w:val="20"/>
          <w:lang w:eastAsia="pl-PL"/>
        </w:rPr>
        <w:drawing>
          <wp:inline distT="0" distB="0" distL="0" distR="0">
            <wp:extent cx="5760720" cy="1776095"/>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1776095"/>
                    </a:xfrm>
                    <a:prstGeom prst="rect">
                      <a:avLst/>
                    </a:prstGeom>
                    <a:noFill/>
                    <a:ln>
                      <a:noFill/>
                    </a:ln>
                  </pic:spPr>
                </pic:pic>
              </a:graphicData>
            </a:graphic>
          </wp:inline>
        </w:drawing>
      </w:r>
    </w:p>
    <w:p w:rsidR="001762BB" w:rsidRPr="00FF3F3E" w:rsidRDefault="001762BB" w:rsidP="00761F46">
      <w:pPr>
        <w:spacing w:after="0" w:line="240" w:lineRule="auto"/>
        <w:jc w:val="both"/>
        <w:rPr>
          <w:rFonts w:cstheme="minorHAnsi"/>
          <w:sz w:val="20"/>
          <w:szCs w:val="20"/>
        </w:rPr>
      </w:pPr>
    </w:p>
    <w:p w:rsidR="001762BB" w:rsidRPr="00FF3F3E" w:rsidRDefault="001762BB" w:rsidP="001762BB">
      <w:pPr>
        <w:spacing w:after="0" w:line="240" w:lineRule="auto"/>
        <w:ind w:left="284"/>
        <w:jc w:val="both"/>
        <w:rPr>
          <w:rFonts w:cstheme="minorHAnsi"/>
          <w:sz w:val="20"/>
          <w:szCs w:val="20"/>
        </w:rPr>
      </w:pPr>
      <w:r w:rsidRPr="00FF3F3E">
        <w:rPr>
          <w:rFonts w:cstheme="minorHAnsi"/>
          <w:sz w:val="20"/>
          <w:szCs w:val="20"/>
        </w:rPr>
        <w:t xml:space="preserve">Zaznaczone puste pola wypełnią się dopiero jak zostanie uzupełniona Tabela 4: Wyliczenie kosztów kwalifikowalnych zgodnie z art. 41 </w:t>
      </w:r>
      <w:r w:rsidR="0081182C">
        <w:rPr>
          <w:rFonts w:cstheme="minorHAnsi"/>
          <w:sz w:val="20"/>
          <w:szCs w:val="20"/>
        </w:rPr>
        <w:t xml:space="preserve">GBER </w:t>
      </w:r>
      <w:r w:rsidR="0081182C" w:rsidRPr="0081182C">
        <w:rPr>
          <w:rFonts w:cstheme="minorHAnsi"/>
          <w:sz w:val="20"/>
          <w:szCs w:val="20"/>
        </w:rPr>
        <w:t xml:space="preserve">ust. 6 </w:t>
      </w:r>
      <w:r w:rsidRPr="00FF3F3E">
        <w:rPr>
          <w:rFonts w:cstheme="minorHAnsi"/>
          <w:sz w:val="20"/>
          <w:szCs w:val="20"/>
        </w:rPr>
        <w:t xml:space="preserve">Lit. B. Do tabeli 4 automatycznie przenosi się suma wydatków </w:t>
      </w:r>
      <w:r w:rsidRPr="00FF3F3E">
        <w:rPr>
          <w:rFonts w:cstheme="minorHAnsi"/>
          <w:sz w:val="20"/>
          <w:szCs w:val="20"/>
        </w:rPr>
        <w:lastRenderedPageBreak/>
        <w:t xml:space="preserve">objętych TYLKO art. 41 </w:t>
      </w:r>
      <w:r w:rsidR="0081182C">
        <w:rPr>
          <w:rFonts w:cstheme="minorHAnsi"/>
          <w:sz w:val="20"/>
          <w:szCs w:val="20"/>
        </w:rPr>
        <w:t xml:space="preserve">GBER </w:t>
      </w:r>
      <w:r w:rsidR="0081182C" w:rsidRPr="0081182C">
        <w:rPr>
          <w:rFonts w:cstheme="minorHAnsi"/>
          <w:sz w:val="20"/>
          <w:szCs w:val="20"/>
        </w:rPr>
        <w:t xml:space="preserve">ust. 6 </w:t>
      </w:r>
      <w:r w:rsidRPr="00FF3F3E">
        <w:rPr>
          <w:rFonts w:cstheme="minorHAnsi"/>
          <w:sz w:val="20"/>
          <w:szCs w:val="20"/>
        </w:rPr>
        <w:t>Lit. B – są to wydatki PRZED odniesieniem do podobnej, mniej efektywnej energetycznie inwestycji, tj. koszty, które będą podlegać korekcie o inwestycję referencyjną.</w:t>
      </w:r>
    </w:p>
    <w:p w:rsidR="001762BB" w:rsidRPr="00FF3F3E" w:rsidRDefault="001762BB" w:rsidP="001762BB">
      <w:pPr>
        <w:spacing w:after="0" w:line="240" w:lineRule="auto"/>
        <w:ind w:left="284"/>
        <w:jc w:val="both"/>
        <w:rPr>
          <w:rFonts w:cstheme="minorHAnsi"/>
          <w:sz w:val="20"/>
          <w:szCs w:val="20"/>
        </w:rPr>
      </w:pPr>
      <w:r w:rsidRPr="00FF3F3E">
        <w:rPr>
          <w:rFonts w:cstheme="minorHAnsi"/>
          <w:noProof/>
          <w:sz w:val="20"/>
          <w:szCs w:val="20"/>
          <w:lang w:eastAsia="pl-PL"/>
        </w:rPr>
        <w:drawing>
          <wp:inline distT="0" distB="0" distL="0" distR="0">
            <wp:extent cx="6120130" cy="2238375"/>
            <wp:effectExtent l="0" t="0" r="0"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130" cy="2238375"/>
                    </a:xfrm>
                    <a:prstGeom prst="rect">
                      <a:avLst/>
                    </a:prstGeom>
                    <a:noFill/>
                    <a:ln>
                      <a:noFill/>
                    </a:ln>
                  </pic:spPr>
                </pic:pic>
              </a:graphicData>
            </a:graphic>
          </wp:inline>
        </w:drawing>
      </w:r>
    </w:p>
    <w:p w:rsidR="001762BB" w:rsidRPr="00FF3F3E" w:rsidRDefault="001762BB" w:rsidP="001762BB">
      <w:pPr>
        <w:spacing w:after="0" w:line="240" w:lineRule="auto"/>
        <w:ind w:left="284"/>
        <w:jc w:val="both"/>
        <w:rPr>
          <w:rFonts w:cstheme="minorHAnsi"/>
          <w:sz w:val="20"/>
          <w:szCs w:val="20"/>
        </w:rPr>
      </w:pPr>
    </w:p>
    <w:p w:rsidR="001762BB" w:rsidRPr="00FF3F3E" w:rsidRDefault="001762BB" w:rsidP="001762BB">
      <w:pPr>
        <w:spacing w:after="0" w:line="240" w:lineRule="auto"/>
        <w:ind w:left="284"/>
        <w:jc w:val="both"/>
        <w:rPr>
          <w:rFonts w:cstheme="minorHAnsi"/>
          <w:sz w:val="20"/>
          <w:szCs w:val="20"/>
        </w:rPr>
      </w:pPr>
      <w:r w:rsidRPr="00FF3F3E">
        <w:rPr>
          <w:rFonts w:cstheme="minorHAnsi"/>
          <w:sz w:val="20"/>
          <w:szCs w:val="20"/>
        </w:rPr>
        <w:t>Następnie wydatki PRZED odniesieniem do podobnej, mniej efektywnej energetycznie inwestycji, tj. koszty, które będą podlegać korekcie o inwestycję referencyjną należy przyrównać do inwestycji referencyjnej za pomocą kalkulatora</w:t>
      </w:r>
      <w:r w:rsidR="004E53D0" w:rsidRPr="00FF3F3E">
        <w:rPr>
          <w:rFonts w:cstheme="minorHAnsi"/>
          <w:sz w:val="20"/>
          <w:szCs w:val="20"/>
        </w:rPr>
        <w:t xml:space="preserve">. Do kalkulatora należy wpisać wartość wydatków kwalifikowalnych „PRZED odniesieniem do podobnej, mniej efektywnej energetycznie inwestycji, tj. koszty, które będą podlegać korekcie o inwestycję referencyjną”, tj. w ramach </w:t>
      </w:r>
      <w:r w:rsidR="00BD1AA0" w:rsidRPr="00FF3F3E">
        <w:rPr>
          <w:rFonts w:cstheme="minorHAnsi"/>
          <w:sz w:val="20"/>
          <w:szCs w:val="20"/>
        </w:rPr>
        <w:t>A</w:t>
      </w:r>
      <w:r w:rsidR="004E53D0" w:rsidRPr="00FF3F3E">
        <w:rPr>
          <w:rFonts w:cstheme="minorHAnsi"/>
          <w:sz w:val="20"/>
          <w:szCs w:val="20"/>
        </w:rPr>
        <w:t>rt. 41</w:t>
      </w:r>
      <w:r w:rsidR="00BD1AA0" w:rsidRPr="00FF3F3E">
        <w:rPr>
          <w:rFonts w:cstheme="minorHAnsi"/>
          <w:sz w:val="20"/>
          <w:szCs w:val="20"/>
        </w:rPr>
        <w:t xml:space="preserve"> GBER</w:t>
      </w:r>
      <w:r w:rsidR="004E53D0" w:rsidRPr="00FF3F3E">
        <w:rPr>
          <w:rFonts w:cstheme="minorHAnsi"/>
          <w:sz w:val="20"/>
          <w:szCs w:val="20"/>
        </w:rPr>
        <w:t xml:space="preserve"> ust. 6 lit </w:t>
      </w:r>
      <w:r w:rsidR="00BD1AA0" w:rsidRPr="00FF3F3E">
        <w:rPr>
          <w:rFonts w:cstheme="minorHAnsi"/>
          <w:sz w:val="20"/>
          <w:szCs w:val="20"/>
        </w:rPr>
        <w:t>B</w:t>
      </w:r>
      <w:r w:rsidR="004E53D0" w:rsidRPr="00FF3F3E">
        <w:rPr>
          <w:rFonts w:cstheme="minorHAnsi"/>
          <w:sz w:val="20"/>
          <w:szCs w:val="20"/>
        </w:rPr>
        <w:t>):</w:t>
      </w:r>
    </w:p>
    <w:p w:rsidR="004E53D0" w:rsidRPr="00FF3F3E" w:rsidRDefault="004E53D0" w:rsidP="001762BB">
      <w:pPr>
        <w:spacing w:after="0" w:line="240" w:lineRule="auto"/>
        <w:ind w:left="284"/>
        <w:jc w:val="both"/>
        <w:rPr>
          <w:rFonts w:cstheme="minorHAnsi"/>
          <w:sz w:val="20"/>
          <w:szCs w:val="20"/>
        </w:rPr>
      </w:pPr>
    </w:p>
    <w:p w:rsidR="004E53D0" w:rsidRPr="00FF3F3E" w:rsidRDefault="0017346A" w:rsidP="001762BB">
      <w:pPr>
        <w:spacing w:after="0" w:line="240" w:lineRule="auto"/>
        <w:ind w:left="284"/>
        <w:jc w:val="both"/>
        <w:rPr>
          <w:rFonts w:cstheme="minorHAnsi"/>
          <w:sz w:val="20"/>
          <w:szCs w:val="20"/>
        </w:rPr>
      </w:pPr>
      <w:r w:rsidRPr="00FF3F3E">
        <w:rPr>
          <w:rFonts w:cstheme="minorHAnsi"/>
          <w:noProof/>
          <w:sz w:val="20"/>
          <w:szCs w:val="20"/>
          <w:lang w:eastAsia="pl-PL"/>
        </w:rPr>
        <w:drawing>
          <wp:inline distT="0" distB="0" distL="0" distR="0">
            <wp:extent cx="6116320" cy="5132705"/>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6320" cy="5132705"/>
                    </a:xfrm>
                    <a:prstGeom prst="rect">
                      <a:avLst/>
                    </a:prstGeom>
                    <a:noFill/>
                    <a:ln>
                      <a:noFill/>
                    </a:ln>
                  </pic:spPr>
                </pic:pic>
              </a:graphicData>
            </a:graphic>
          </wp:inline>
        </w:drawing>
      </w:r>
    </w:p>
    <w:p w:rsidR="001762BB" w:rsidRPr="00FF3F3E" w:rsidRDefault="001762BB" w:rsidP="001762BB">
      <w:pPr>
        <w:spacing w:after="0" w:line="240" w:lineRule="auto"/>
        <w:ind w:left="284"/>
        <w:jc w:val="both"/>
        <w:rPr>
          <w:rFonts w:cstheme="minorHAnsi"/>
          <w:sz w:val="20"/>
          <w:szCs w:val="20"/>
        </w:rPr>
      </w:pPr>
    </w:p>
    <w:p w:rsidR="001762BB" w:rsidRPr="00FF3F3E" w:rsidRDefault="00A84D72" w:rsidP="00761F46">
      <w:pPr>
        <w:spacing w:after="0" w:line="240" w:lineRule="auto"/>
        <w:jc w:val="both"/>
        <w:rPr>
          <w:rFonts w:cstheme="minorHAnsi"/>
          <w:sz w:val="20"/>
          <w:szCs w:val="20"/>
        </w:rPr>
      </w:pPr>
      <w:r w:rsidRPr="00FF3F3E">
        <w:rPr>
          <w:rFonts w:cstheme="minorHAnsi"/>
          <w:sz w:val="20"/>
          <w:szCs w:val="20"/>
        </w:rPr>
        <w:t xml:space="preserve">Po wypełnieniu kalkulatora danymi dot. inwestycji kalkulator określi wysokość wydatków kwalifikowalnych jako różnicę nakładów pomiędzy instalacją referencyjną a instalacją planowaną. Wyliczoną wartość kosztów </w:t>
      </w:r>
      <w:r w:rsidRPr="00FF3F3E">
        <w:rPr>
          <w:rFonts w:cstheme="minorHAnsi"/>
          <w:sz w:val="20"/>
          <w:szCs w:val="20"/>
        </w:rPr>
        <w:lastRenderedPageBreak/>
        <w:t>kwalifikowalnych należy przenieść Tabeli 4 do pola pn. „PO odniesieniu do podobnej, mniej efektywnej energetycznie inwestycji, tj. koszty, wynikające z kalkulatora inwestycji referencyjnej” w następujący sposób:</w:t>
      </w:r>
    </w:p>
    <w:p w:rsidR="00B472F4" w:rsidRPr="00FF3F3E" w:rsidRDefault="00B472F4" w:rsidP="00761F46">
      <w:pPr>
        <w:spacing w:after="0" w:line="240" w:lineRule="auto"/>
        <w:jc w:val="both"/>
        <w:rPr>
          <w:rFonts w:cstheme="minorHAnsi"/>
          <w:sz w:val="20"/>
          <w:szCs w:val="20"/>
        </w:rPr>
      </w:pPr>
      <w:r w:rsidRPr="00FF3F3E">
        <w:rPr>
          <w:rFonts w:cstheme="minorHAnsi"/>
          <w:noProof/>
          <w:sz w:val="20"/>
          <w:szCs w:val="20"/>
          <w:lang w:eastAsia="pl-PL"/>
        </w:rPr>
        <w:drawing>
          <wp:inline distT="0" distB="0" distL="0" distR="0">
            <wp:extent cx="6107430" cy="2372360"/>
            <wp:effectExtent l="0" t="0" r="7620" b="889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07430" cy="2372360"/>
                    </a:xfrm>
                    <a:prstGeom prst="rect">
                      <a:avLst/>
                    </a:prstGeom>
                    <a:noFill/>
                    <a:ln>
                      <a:noFill/>
                    </a:ln>
                  </pic:spPr>
                </pic:pic>
              </a:graphicData>
            </a:graphic>
          </wp:inline>
        </w:drawing>
      </w:r>
    </w:p>
    <w:p w:rsidR="00B472F4" w:rsidRPr="00FF3F3E" w:rsidRDefault="00B472F4" w:rsidP="00761F46">
      <w:pPr>
        <w:spacing w:after="0" w:line="240" w:lineRule="auto"/>
        <w:jc w:val="both"/>
        <w:rPr>
          <w:rFonts w:cstheme="minorHAnsi"/>
          <w:sz w:val="20"/>
          <w:szCs w:val="20"/>
        </w:rPr>
      </w:pPr>
      <w:r w:rsidRPr="00FF3F3E">
        <w:rPr>
          <w:rFonts w:cstheme="minorHAnsi"/>
          <w:sz w:val="20"/>
          <w:szCs w:val="20"/>
        </w:rPr>
        <w:t>Zaznaczoną kwotę z pola „Różnica nakładów pomiędzy instalacją referencyjną a instalacją planowaną (koszty kwalifikowalne):” należy przenieść do pliku „3.1.A Planowane wydatki …”, do Tabeli 4 do pola „PO odniesieniu do podobnej, mniej efektywnej energetycznie inwestycji, tj. koszty, wynikające z kalkulatora inwestycji referencyjnej”, a w efekcie zostanie wyliczony współczynnik korekty kosztów za pomocą którego koszty kwalifikowalne w Tabeli 5 zostaną skorygowane:</w:t>
      </w:r>
    </w:p>
    <w:p w:rsidR="00B472F4" w:rsidRPr="00FF3F3E" w:rsidRDefault="00B472F4" w:rsidP="00761F46">
      <w:pPr>
        <w:spacing w:after="0" w:line="240" w:lineRule="auto"/>
        <w:jc w:val="both"/>
        <w:rPr>
          <w:rFonts w:cstheme="minorHAnsi"/>
          <w:sz w:val="20"/>
          <w:szCs w:val="20"/>
        </w:rPr>
      </w:pPr>
    </w:p>
    <w:p w:rsidR="00B472F4" w:rsidRPr="00FF3F3E" w:rsidRDefault="00B472F4" w:rsidP="00761F46">
      <w:pPr>
        <w:spacing w:after="0" w:line="240" w:lineRule="auto"/>
        <w:jc w:val="both"/>
        <w:rPr>
          <w:rFonts w:cstheme="minorHAnsi"/>
          <w:sz w:val="20"/>
          <w:szCs w:val="20"/>
        </w:rPr>
      </w:pPr>
      <w:r w:rsidRPr="00FF3F3E">
        <w:rPr>
          <w:rFonts w:cstheme="minorHAnsi"/>
          <w:noProof/>
          <w:sz w:val="20"/>
          <w:szCs w:val="20"/>
          <w:lang w:eastAsia="pl-PL"/>
        </w:rPr>
        <w:drawing>
          <wp:inline distT="0" distB="0" distL="0" distR="0">
            <wp:extent cx="6116320" cy="5330825"/>
            <wp:effectExtent l="0" t="0" r="0" b="3175"/>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6320" cy="5330825"/>
                    </a:xfrm>
                    <a:prstGeom prst="rect">
                      <a:avLst/>
                    </a:prstGeom>
                    <a:noFill/>
                    <a:ln>
                      <a:noFill/>
                    </a:ln>
                  </pic:spPr>
                </pic:pic>
              </a:graphicData>
            </a:graphic>
          </wp:inline>
        </w:drawing>
      </w:r>
    </w:p>
    <w:p w:rsidR="005929D7" w:rsidRDefault="005929D7" w:rsidP="00761F46">
      <w:pPr>
        <w:spacing w:after="0" w:line="240" w:lineRule="auto"/>
        <w:jc w:val="both"/>
        <w:rPr>
          <w:rFonts w:cstheme="minorHAnsi"/>
          <w:sz w:val="20"/>
          <w:szCs w:val="20"/>
        </w:rPr>
      </w:pPr>
    </w:p>
    <w:p w:rsidR="0081182C" w:rsidRDefault="0081182C" w:rsidP="00761F46">
      <w:pPr>
        <w:spacing w:after="0" w:line="240" w:lineRule="auto"/>
        <w:jc w:val="both"/>
        <w:rPr>
          <w:rFonts w:cstheme="minorHAnsi"/>
          <w:sz w:val="20"/>
          <w:szCs w:val="20"/>
        </w:rPr>
      </w:pPr>
    </w:p>
    <w:p w:rsidR="0081182C" w:rsidRDefault="0081182C" w:rsidP="00761F46">
      <w:pPr>
        <w:spacing w:after="0" w:line="240" w:lineRule="auto"/>
        <w:jc w:val="both"/>
        <w:rPr>
          <w:rFonts w:cstheme="minorHAnsi"/>
          <w:sz w:val="20"/>
          <w:szCs w:val="20"/>
        </w:rPr>
      </w:pPr>
    </w:p>
    <w:p w:rsidR="0081182C" w:rsidRPr="00FF3F3E" w:rsidRDefault="0081182C" w:rsidP="00761F46">
      <w:pPr>
        <w:spacing w:after="0" w:line="240" w:lineRule="auto"/>
        <w:jc w:val="both"/>
        <w:rPr>
          <w:rFonts w:cstheme="minorHAnsi"/>
          <w:sz w:val="20"/>
          <w:szCs w:val="20"/>
        </w:rPr>
      </w:pPr>
    </w:p>
    <w:p w:rsidR="000F1771" w:rsidRPr="00FF3F3E" w:rsidRDefault="005929D7" w:rsidP="005929D7">
      <w:pPr>
        <w:pStyle w:val="ListParagraph"/>
        <w:numPr>
          <w:ilvl w:val="0"/>
          <w:numId w:val="1"/>
        </w:numPr>
        <w:spacing w:after="0" w:line="240" w:lineRule="auto"/>
        <w:jc w:val="both"/>
        <w:rPr>
          <w:rFonts w:cstheme="minorHAnsi"/>
          <w:sz w:val="20"/>
          <w:szCs w:val="20"/>
        </w:rPr>
      </w:pPr>
      <w:r w:rsidRPr="00FF3F3E">
        <w:rPr>
          <w:rFonts w:cstheme="minorHAnsi"/>
          <w:sz w:val="20"/>
          <w:szCs w:val="20"/>
        </w:rPr>
        <w:t xml:space="preserve">Zysk operacyjny. </w:t>
      </w:r>
      <w:r w:rsidR="000F1771" w:rsidRPr="00FF3F3E">
        <w:rPr>
          <w:rFonts w:cstheme="minorHAnsi"/>
          <w:sz w:val="20"/>
          <w:szCs w:val="20"/>
        </w:rPr>
        <w:t xml:space="preserve">Dotyczy tylko jeśli w projekcie są wydatki związane z pomocą publiczną zgodnie z </w:t>
      </w:r>
      <w:r w:rsidR="00BD1AA0" w:rsidRPr="00FF3F3E">
        <w:rPr>
          <w:rFonts w:cstheme="minorHAnsi"/>
          <w:b/>
          <w:bCs/>
          <w:sz w:val="20"/>
          <w:szCs w:val="20"/>
          <w:u w:val="single"/>
        </w:rPr>
        <w:t>A</w:t>
      </w:r>
      <w:r w:rsidR="000F1771" w:rsidRPr="00FF3F3E">
        <w:rPr>
          <w:rFonts w:cstheme="minorHAnsi"/>
          <w:b/>
          <w:bCs/>
          <w:sz w:val="20"/>
          <w:szCs w:val="20"/>
          <w:u w:val="single"/>
        </w:rPr>
        <w:t>rt. 48 GBER.</w:t>
      </w:r>
      <w:r w:rsidR="000F1771" w:rsidRPr="00FF3F3E">
        <w:rPr>
          <w:rFonts w:cstheme="minorHAnsi"/>
          <w:sz w:val="20"/>
          <w:szCs w:val="20"/>
        </w:rPr>
        <w:t xml:space="preserve"> </w:t>
      </w:r>
    </w:p>
    <w:p w:rsidR="005929D7" w:rsidRPr="00FF3F3E" w:rsidRDefault="005929D7" w:rsidP="000F1771">
      <w:pPr>
        <w:pStyle w:val="ListParagraph"/>
        <w:spacing w:after="0" w:line="240" w:lineRule="auto"/>
        <w:jc w:val="both"/>
        <w:rPr>
          <w:rFonts w:cstheme="minorHAnsi"/>
          <w:sz w:val="20"/>
          <w:szCs w:val="20"/>
        </w:rPr>
      </w:pPr>
      <w:r w:rsidRPr="00FF3F3E">
        <w:rPr>
          <w:rFonts w:cstheme="minorHAnsi"/>
          <w:sz w:val="20"/>
          <w:szCs w:val="20"/>
        </w:rPr>
        <w:t>Po wypełnieniu zakładek „Wnioskodawca”, „Partner 1” itd., należy przejść do zakładki „Zysk operacyjny”, gdzie automatycznie przeniesione zostaną nazwy podmiotów uczestniczących w projekcie (nazwa Wnioskodawców oraz nazwy Partnerów):</w:t>
      </w:r>
    </w:p>
    <w:p w:rsidR="005929D7" w:rsidRPr="00FF3F3E" w:rsidRDefault="005929D7" w:rsidP="005929D7">
      <w:pPr>
        <w:pStyle w:val="ListParagraph"/>
        <w:spacing w:after="0" w:line="240" w:lineRule="auto"/>
        <w:jc w:val="both"/>
        <w:rPr>
          <w:rFonts w:cstheme="minorHAnsi"/>
          <w:sz w:val="20"/>
          <w:szCs w:val="20"/>
        </w:rPr>
      </w:pPr>
    </w:p>
    <w:p w:rsidR="005929D7" w:rsidRPr="00FF3F3E" w:rsidRDefault="005929D7" w:rsidP="005929D7">
      <w:pPr>
        <w:spacing w:after="0" w:line="240" w:lineRule="auto"/>
        <w:jc w:val="both"/>
        <w:rPr>
          <w:rFonts w:cstheme="minorHAnsi"/>
          <w:sz w:val="20"/>
          <w:szCs w:val="20"/>
        </w:rPr>
      </w:pPr>
      <w:r w:rsidRPr="00FF3F3E">
        <w:rPr>
          <w:rFonts w:cstheme="minorHAnsi"/>
          <w:noProof/>
          <w:sz w:val="20"/>
          <w:szCs w:val="20"/>
          <w:lang w:eastAsia="pl-PL"/>
        </w:rPr>
        <w:drawing>
          <wp:inline distT="0" distB="0" distL="0" distR="0">
            <wp:extent cx="6116320" cy="888365"/>
            <wp:effectExtent l="0" t="0" r="0" b="698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6320" cy="888365"/>
                    </a:xfrm>
                    <a:prstGeom prst="rect">
                      <a:avLst/>
                    </a:prstGeom>
                    <a:noFill/>
                    <a:ln>
                      <a:noFill/>
                    </a:ln>
                  </pic:spPr>
                </pic:pic>
              </a:graphicData>
            </a:graphic>
          </wp:inline>
        </w:drawing>
      </w:r>
    </w:p>
    <w:p w:rsidR="005929D7" w:rsidRPr="00FF3F3E" w:rsidRDefault="005929D7" w:rsidP="005929D7">
      <w:pPr>
        <w:spacing w:after="0" w:line="240" w:lineRule="auto"/>
        <w:jc w:val="both"/>
        <w:rPr>
          <w:rFonts w:cstheme="minorHAnsi"/>
          <w:sz w:val="20"/>
          <w:szCs w:val="20"/>
        </w:rPr>
      </w:pPr>
    </w:p>
    <w:tbl>
      <w:tblPr>
        <w:tblStyle w:val="TableGrid"/>
        <w:tblW w:w="0" w:type="auto"/>
        <w:tblLook w:val="04A0"/>
      </w:tblPr>
      <w:tblGrid>
        <w:gridCol w:w="1818"/>
        <w:gridCol w:w="7848"/>
      </w:tblGrid>
      <w:tr w:rsidR="005929D7" w:rsidRPr="00FF3F3E" w:rsidTr="000C622E">
        <w:trPr>
          <w:trHeight w:val="4526"/>
        </w:trPr>
        <w:tc>
          <w:tcPr>
            <w:tcW w:w="1818" w:type="dxa"/>
            <w:vAlign w:val="center"/>
          </w:tcPr>
          <w:p w:rsidR="005929D7" w:rsidRPr="00FF3F3E" w:rsidRDefault="000C622E" w:rsidP="005929D7">
            <w:pPr>
              <w:jc w:val="both"/>
              <w:rPr>
                <w:rFonts w:cstheme="minorHAnsi"/>
                <w:sz w:val="20"/>
                <w:szCs w:val="20"/>
              </w:rPr>
            </w:pPr>
            <w:r w:rsidRPr="00FF3F3E">
              <w:rPr>
                <w:rFonts w:cstheme="minorHAnsi"/>
                <w:sz w:val="20"/>
                <w:szCs w:val="20"/>
              </w:rPr>
              <w:t>Dla każdego podmiotu należy wypełnić informację nt. przychodów i kosztów operacyjnych jakie będą brane przy wyliczeniu zysku operacyjnego</w:t>
            </w:r>
          </w:p>
        </w:tc>
        <w:tc>
          <w:tcPr>
            <w:tcW w:w="7810" w:type="dxa"/>
            <w:vAlign w:val="center"/>
          </w:tcPr>
          <w:p w:rsidR="005929D7" w:rsidRPr="00FF3F3E" w:rsidRDefault="005929D7" w:rsidP="005929D7">
            <w:pPr>
              <w:jc w:val="both"/>
              <w:rPr>
                <w:rFonts w:cstheme="minorHAnsi"/>
                <w:sz w:val="20"/>
                <w:szCs w:val="20"/>
              </w:rPr>
            </w:pPr>
            <w:r w:rsidRPr="00FF3F3E">
              <w:rPr>
                <w:rFonts w:cstheme="minorHAnsi"/>
                <w:sz w:val="20"/>
                <w:szCs w:val="20"/>
              </w:rPr>
              <w:object w:dxaOrig="7200" w:dyaOrig="4130">
                <v:shape id="_x0000_i1029" type="#_x0000_t75" style="width:5in;height:208.85pt" o:ole="">
                  <v:imagedata r:id="rId28" o:title=""/>
                </v:shape>
                <o:OLEObject Type="Embed" ProgID="PBrush" ShapeID="_x0000_i1029" DrawAspect="Content" ObjectID="_1650882290" r:id="rId29"/>
              </w:object>
            </w:r>
          </w:p>
        </w:tc>
      </w:tr>
      <w:tr w:rsidR="005929D7" w:rsidRPr="00FF3F3E" w:rsidTr="000C622E">
        <w:trPr>
          <w:trHeight w:val="5521"/>
        </w:trPr>
        <w:tc>
          <w:tcPr>
            <w:tcW w:w="1818" w:type="dxa"/>
            <w:vAlign w:val="center"/>
          </w:tcPr>
          <w:p w:rsidR="005929D7" w:rsidRPr="00FF3F3E" w:rsidRDefault="000C622E" w:rsidP="005929D7">
            <w:pPr>
              <w:jc w:val="both"/>
              <w:rPr>
                <w:rFonts w:cstheme="minorHAnsi"/>
                <w:sz w:val="20"/>
                <w:szCs w:val="20"/>
              </w:rPr>
            </w:pPr>
            <w:r w:rsidRPr="00FF3F3E">
              <w:rPr>
                <w:rFonts w:cstheme="minorHAnsi"/>
                <w:sz w:val="20"/>
                <w:szCs w:val="20"/>
              </w:rPr>
              <w:t>Dla każdego podmiotu należy określić roczną sumę przychodów operacyjnych oraz kosztów operacyjnych dla każdego roku, które będą polegać automatycznemu dyskontowaniu</w:t>
            </w:r>
          </w:p>
        </w:tc>
        <w:tc>
          <w:tcPr>
            <w:tcW w:w="7810" w:type="dxa"/>
            <w:vAlign w:val="center"/>
          </w:tcPr>
          <w:p w:rsidR="005929D7" w:rsidRPr="00FF3F3E" w:rsidRDefault="000C622E" w:rsidP="005929D7">
            <w:pPr>
              <w:jc w:val="both"/>
              <w:rPr>
                <w:rFonts w:cstheme="minorHAnsi"/>
                <w:sz w:val="20"/>
                <w:szCs w:val="20"/>
              </w:rPr>
            </w:pPr>
            <w:r w:rsidRPr="00FF3F3E">
              <w:rPr>
                <w:rFonts w:cstheme="minorHAnsi"/>
                <w:sz w:val="20"/>
                <w:szCs w:val="20"/>
              </w:rPr>
              <w:object w:dxaOrig="5108" w:dyaOrig="5108">
                <v:shape id="_x0000_i1030" type="#_x0000_t75" style="width:252pt;height:252pt" o:ole="">
                  <v:imagedata r:id="rId30" o:title=""/>
                </v:shape>
                <o:OLEObject Type="Embed" ProgID="PBrush" ShapeID="_x0000_i1030" DrawAspect="Content" ObjectID="_1650882291" r:id="rId31"/>
              </w:object>
            </w:r>
          </w:p>
        </w:tc>
      </w:tr>
      <w:tr w:rsidR="005929D7" w:rsidRPr="00FF3F3E" w:rsidTr="000C622E">
        <w:tc>
          <w:tcPr>
            <w:tcW w:w="1818" w:type="dxa"/>
            <w:vAlign w:val="center"/>
          </w:tcPr>
          <w:p w:rsidR="00C938D3" w:rsidRDefault="00C938D3" w:rsidP="00C938D3">
            <w:pPr>
              <w:jc w:val="both"/>
              <w:rPr>
                <w:rFonts w:cstheme="minorHAnsi"/>
                <w:sz w:val="20"/>
                <w:szCs w:val="20"/>
              </w:rPr>
            </w:pPr>
            <w:r>
              <w:rPr>
                <w:rFonts w:cstheme="minorHAnsi"/>
                <w:sz w:val="20"/>
                <w:szCs w:val="20"/>
              </w:rPr>
              <w:lastRenderedPageBreak/>
              <w:t>W okresie realizacji projektu n</w:t>
            </w:r>
            <w:r w:rsidR="000C622E" w:rsidRPr="00FF3F3E">
              <w:rPr>
                <w:rFonts w:cstheme="minorHAnsi"/>
                <w:sz w:val="20"/>
                <w:szCs w:val="20"/>
              </w:rPr>
              <w:t xml:space="preserve">ależy </w:t>
            </w:r>
            <w:r>
              <w:rPr>
                <w:rFonts w:cstheme="minorHAnsi"/>
                <w:sz w:val="20"/>
                <w:szCs w:val="20"/>
              </w:rPr>
              <w:t xml:space="preserve">wpisać </w:t>
            </w:r>
            <w:r w:rsidR="000C622E" w:rsidRPr="00FF3F3E">
              <w:rPr>
                <w:rFonts w:cstheme="minorHAnsi"/>
                <w:sz w:val="20"/>
                <w:szCs w:val="20"/>
              </w:rPr>
              <w:t xml:space="preserve"> </w:t>
            </w:r>
            <w:r>
              <w:rPr>
                <w:rFonts w:cstheme="minorHAnsi"/>
                <w:sz w:val="20"/>
                <w:szCs w:val="20"/>
              </w:rPr>
              <w:t>wartość kosztów kwalifikowalnych, które dot. art. 48 GBER. Wpisane wartości automatycznie będą podlegać dyskonowaniu.</w:t>
            </w:r>
          </w:p>
          <w:p w:rsidR="00C938D3" w:rsidRDefault="00C938D3" w:rsidP="00C938D3">
            <w:pPr>
              <w:jc w:val="both"/>
              <w:rPr>
                <w:rFonts w:cstheme="minorHAnsi"/>
                <w:sz w:val="20"/>
                <w:szCs w:val="20"/>
              </w:rPr>
            </w:pPr>
          </w:p>
          <w:p w:rsidR="005929D7" w:rsidRPr="00FF3F3E" w:rsidRDefault="005929D7" w:rsidP="00C938D3">
            <w:pPr>
              <w:jc w:val="both"/>
              <w:rPr>
                <w:rFonts w:cstheme="minorHAnsi"/>
                <w:sz w:val="20"/>
                <w:szCs w:val="20"/>
              </w:rPr>
            </w:pPr>
          </w:p>
        </w:tc>
        <w:tc>
          <w:tcPr>
            <w:tcW w:w="7810" w:type="dxa"/>
            <w:vAlign w:val="center"/>
          </w:tcPr>
          <w:p w:rsidR="005929D7" w:rsidRPr="00FF3F3E" w:rsidRDefault="000C622E" w:rsidP="005929D7">
            <w:pPr>
              <w:jc w:val="both"/>
              <w:rPr>
                <w:rFonts w:cstheme="minorHAnsi"/>
                <w:sz w:val="20"/>
                <w:szCs w:val="20"/>
              </w:rPr>
            </w:pPr>
            <w:r w:rsidRPr="00FF3F3E">
              <w:rPr>
                <w:rFonts w:cstheme="minorHAnsi"/>
                <w:sz w:val="20"/>
                <w:szCs w:val="20"/>
              </w:rPr>
              <w:object w:dxaOrig="7594" w:dyaOrig="3844">
                <v:shape id="_x0000_i1031" type="#_x0000_t75" style="width:381.75pt;height:194.25pt" o:ole="">
                  <v:imagedata r:id="rId32" o:title=""/>
                </v:shape>
                <o:OLEObject Type="Embed" ProgID="PBrush" ShapeID="_x0000_i1031" DrawAspect="Content" ObjectID="_1650882292" r:id="rId33"/>
              </w:object>
            </w:r>
          </w:p>
        </w:tc>
      </w:tr>
    </w:tbl>
    <w:p w:rsidR="005929D7" w:rsidRPr="00FF3F3E" w:rsidRDefault="005929D7" w:rsidP="005929D7">
      <w:pPr>
        <w:spacing w:after="0" w:line="240" w:lineRule="auto"/>
        <w:jc w:val="both"/>
        <w:rPr>
          <w:rFonts w:cstheme="minorHAnsi"/>
          <w:sz w:val="20"/>
          <w:szCs w:val="20"/>
        </w:rPr>
      </w:pPr>
    </w:p>
    <w:p w:rsidR="000C622E" w:rsidRPr="00FF3F3E" w:rsidRDefault="000C622E" w:rsidP="005929D7">
      <w:pPr>
        <w:spacing w:after="0" w:line="240" w:lineRule="auto"/>
        <w:jc w:val="both"/>
        <w:rPr>
          <w:rFonts w:cstheme="minorHAnsi"/>
          <w:sz w:val="20"/>
          <w:szCs w:val="20"/>
        </w:rPr>
      </w:pPr>
      <w:r w:rsidRPr="00FF3F3E">
        <w:rPr>
          <w:rFonts w:cstheme="minorHAnsi"/>
          <w:sz w:val="20"/>
          <w:szCs w:val="20"/>
        </w:rPr>
        <w:t>UWAGA: Suma kosztów kwalifikowalnych związanych z pomocą  publiczną zgodnie z art. 48 GBER w zakładce „Zysk operacyjny”</w:t>
      </w:r>
      <w:r w:rsidR="00C938D3">
        <w:rPr>
          <w:rFonts w:cstheme="minorHAnsi"/>
          <w:sz w:val="20"/>
          <w:szCs w:val="20"/>
        </w:rPr>
        <w:t xml:space="preserve"> dla poszczególnych podmiotów</w:t>
      </w:r>
      <w:r w:rsidRPr="00FF3F3E">
        <w:rPr>
          <w:rFonts w:cstheme="minorHAnsi"/>
          <w:sz w:val="20"/>
          <w:szCs w:val="20"/>
        </w:rPr>
        <w:t xml:space="preserve"> </w:t>
      </w:r>
      <w:r w:rsidR="00C938D3">
        <w:rPr>
          <w:rFonts w:cstheme="minorHAnsi"/>
          <w:sz w:val="20"/>
          <w:szCs w:val="20"/>
        </w:rPr>
        <w:t xml:space="preserve">musi być równa kosztom kwalifikowalnym </w:t>
      </w:r>
      <w:r w:rsidR="008E3D46">
        <w:rPr>
          <w:rFonts w:cstheme="minorHAnsi"/>
          <w:sz w:val="20"/>
          <w:szCs w:val="20"/>
        </w:rPr>
        <w:t xml:space="preserve">ww. pomocy wykazanym odpowiednio w zakładkach </w:t>
      </w:r>
      <w:r w:rsidRPr="00FF3F3E">
        <w:rPr>
          <w:rFonts w:cstheme="minorHAnsi"/>
          <w:sz w:val="20"/>
          <w:szCs w:val="20"/>
        </w:rPr>
        <w:t xml:space="preserve"> „Wnioskodawca”, „Partner 1”, itd.</w:t>
      </w:r>
    </w:p>
    <w:p w:rsidR="00FB102E" w:rsidRPr="00FF3F3E" w:rsidRDefault="00FB102E" w:rsidP="005929D7">
      <w:pPr>
        <w:spacing w:after="0" w:line="240" w:lineRule="auto"/>
        <w:jc w:val="both"/>
        <w:rPr>
          <w:rFonts w:cstheme="minorHAnsi"/>
          <w:sz w:val="20"/>
          <w:szCs w:val="20"/>
        </w:rPr>
      </w:pPr>
    </w:p>
    <w:p w:rsidR="00FB102E" w:rsidRPr="00FF3F3E" w:rsidRDefault="00FB102E" w:rsidP="005929D7">
      <w:pPr>
        <w:spacing w:after="0" w:line="240" w:lineRule="auto"/>
        <w:jc w:val="both"/>
        <w:rPr>
          <w:rFonts w:cstheme="minorHAnsi"/>
          <w:sz w:val="20"/>
          <w:szCs w:val="20"/>
        </w:rPr>
      </w:pPr>
      <w:r w:rsidRPr="00FF3F3E">
        <w:rPr>
          <w:rFonts w:cstheme="minorHAnsi"/>
          <w:sz w:val="20"/>
          <w:szCs w:val="20"/>
        </w:rPr>
        <w:t>Przykład:</w:t>
      </w:r>
    </w:p>
    <w:p w:rsidR="00FB102E" w:rsidRPr="00FF3F3E" w:rsidRDefault="00FB102E" w:rsidP="005929D7">
      <w:pPr>
        <w:spacing w:after="0" w:line="240" w:lineRule="auto"/>
        <w:jc w:val="both"/>
        <w:rPr>
          <w:rFonts w:cstheme="minorHAnsi"/>
          <w:sz w:val="20"/>
          <w:szCs w:val="20"/>
        </w:rPr>
      </w:pPr>
      <w:r w:rsidRPr="00FF3F3E">
        <w:rPr>
          <w:rFonts w:cstheme="minorHAnsi"/>
          <w:sz w:val="20"/>
          <w:szCs w:val="20"/>
        </w:rPr>
        <w:t xml:space="preserve">W zakładce „Wnioskodawca” określono wydatki </w:t>
      </w:r>
      <w:r w:rsidR="008E3D46">
        <w:rPr>
          <w:rFonts w:cstheme="minorHAnsi"/>
          <w:sz w:val="20"/>
          <w:szCs w:val="20"/>
        </w:rPr>
        <w:t xml:space="preserve">kwalifikowalne </w:t>
      </w:r>
      <w:r w:rsidRPr="00FF3F3E">
        <w:rPr>
          <w:rFonts w:cstheme="minorHAnsi"/>
          <w:sz w:val="20"/>
          <w:szCs w:val="20"/>
        </w:rPr>
        <w:t>związane z pomocą publiczną zgodnie z art. 48 GBER na poziomie: 1 </w:t>
      </w:r>
      <w:r w:rsidR="008E3D46">
        <w:rPr>
          <w:rFonts w:cstheme="minorHAnsi"/>
          <w:sz w:val="20"/>
          <w:szCs w:val="20"/>
        </w:rPr>
        <w:t>0</w:t>
      </w:r>
      <w:r w:rsidRPr="00FF3F3E">
        <w:rPr>
          <w:rFonts w:cstheme="minorHAnsi"/>
          <w:sz w:val="20"/>
          <w:szCs w:val="20"/>
        </w:rPr>
        <w:t>00 000,00 PLN:</w:t>
      </w:r>
    </w:p>
    <w:p w:rsidR="00FB102E" w:rsidRPr="00FF3F3E" w:rsidRDefault="00FB102E" w:rsidP="005929D7">
      <w:pPr>
        <w:spacing w:after="0" w:line="240" w:lineRule="auto"/>
        <w:jc w:val="both"/>
        <w:rPr>
          <w:rFonts w:cstheme="minorHAnsi"/>
          <w:sz w:val="20"/>
          <w:szCs w:val="20"/>
        </w:rPr>
      </w:pPr>
    </w:p>
    <w:p w:rsidR="00FB102E" w:rsidRPr="00FF3F3E" w:rsidRDefault="00FB102E" w:rsidP="005929D7">
      <w:pPr>
        <w:spacing w:after="0" w:line="240" w:lineRule="auto"/>
        <w:jc w:val="both"/>
        <w:rPr>
          <w:rFonts w:cstheme="minorHAnsi"/>
          <w:sz w:val="20"/>
          <w:szCs w:val="20"/>
        </w:rPr>
      </w:pPr>
      <w:r w:rsidRPr="00FF3F3E">
        <w:rPr>
          <w:rFonts w:cstheme="minorHAnsi"/>
          <w:noProof/>
          <w:sz w:val="20"/>
          <w:szCs w:val="20"/>
          <w:lang w:eastAsia="pl-PL"/>
        </w:rPr>
        <w:drawing>
          <wp:inline distT="0" distB="0" distL="0" distR="0">
            <wp:extent cx="6109335" cy="803910"/>
            <wp:effectExtent l="0" t="0" r="5715"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09335" cy="803910"/>
                    </a:xfrm>
                    <a:prstGeom prst="rect">
                      <a:avLst/>
                    </a:prstGeom>
                    <a:noFill/>
                    <a:ln>
                      <a:noFill/>
                    </a:ln>
                  </pic:spPr>
                </pic:pic>
              </a:graphicData>
            </a:graphic>
          </wp:inline>
        </w:drawing>
      </w:r>
    </w:p>
    <w:p w:rsidR="00FB102E" w:rsidRPr="00FF3F3E" w:rsidRDefault="00FB102E" w:rsidP="005929D7">
      <w:pPr>
        <w:spacing w:after="0" w:line="240" w:lineRule="auto"/>
        <w:jc w:val="both"/>
        <w:rPr>
          <w:rFonts w:cstheme="minorHAnsi"/>
          <w:sz w:val="20"/>
          <w:szCs w:val="20"/>
        </w:rPr>
      </w:pPr>
    </w:p>
    <w:p w:rsidR="00FB102E" w:rsidRPr="00FF3F3E" w:rsidRDefault="00FB102E" w:rsidP="005929D7">
      <w:pPr>
        <w:spacing w:after="0" w:line="240" w:lineRule="auto"/>
        <w:jc w:val="both"/>
        <w:rPr>
          <w:rFonts w:cstheme="minorHAnsi"/>
          <w:sz w:val="20"/>
          <w:szCs w:val="20"/>
        </w:rPr>
      </w:pPr>
      <w:r w:rsidRPr="00FF3F3E">
        <w:rPr>
          <w:rFonts w:cstheme="minorHAnsi"/>
          <w:sz w:val="20"/>
          <w:szCs w:val="20"/>
        </w:rPr>
        <w:t>Suma ww. wydatków jest obliczana w Tabeli 1:</w:t>
      </w:r>
    </w:p>
    <w:p w:rsidR="00FB102E" w:rsidRPr="00FF3F3E" w:rsidRDefault="00FB102E" w:rsidP="005929D7">
      <w:pPr>
        <w:spacing w:after="0" w:line="240" w:lineRule="auto"/>
        <w:jc w:val="both"/>
        <w:rPr>
          <w:rFonts w:cstheme="minorHAnsi"/>
          <w:sz w:val="20"/>
          <w:szCs w:val="20"/>
        </w:rPr>
      </w:pPr>
    </w:p>
    <w:p w:rsidR="00FB102E" w:rsidRPr="00FF3F3E" w:rsidRDefault="00BC2F35" w:rsidP="005929D7">
      <w:pPr>
        <w:spacing w:after="0" w:line="240" w:lineRule="auto"/>
        <w:jc w:val="both"/>
        <w:rPr>
          <w:rFonts w:cstheme="minorHAnsi"/>
          <w:sz w:val="20"/>
          <w:szCs w:val="20"/>
        </w:rPr>
      </w:pPr>
      <w:r w:rsidRPr="00FF3F3E">
        <w:rPr>
          <w:rFonts w:cstheme="minorHAnsi"/>
          <w:noProof/>
          <w:sz w:val="20"/>
          <w:szCs w:val="20"/>
          <w:lang w:eastAsia="pl-PL"/>
        </w:rPr>
        <w:lastRenderedPageBreak/>
        <w:drawing>
          <wp:inline distT="0" distB="0" distL="0" distR="0">
            <wp:extent cx="6109335" cy="5179060"/>
            <wp:effectExtent l="0" t="0" r="5715" b="254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09335" cy="5179060"/>
                    </a:xfrm>
                    <a:prstGeom prst="rect">
                      <a:avLst/>
                    </a:prstGeom>
                    <a:noFill/>
                    <a:ln>
                      <a:noFill/>
                    </a:ln>
                  </pic:spPr>
                </pic:pic>
              </a:graphicData>
            </a:graphic>
          </wp:inline>
        </w:drawing>
      </w:r>
    </w:p>
    <w:p w:rsidR="00FB102E" w:rsidRPr="00FF3F3E" w:rsidRDefault="00FB102E" w:rsidP="005929D7">
      <w:pPr>
        <w:spacing w:after="0" w:line="240" w:lineRule="auto"/>
        <w:jc w:val="both"/>
        <w:rPr>
          <w:rFonts w:cstheme="minorHAnsi"/>
          <w:sz w:val="20"/>
          <w:szCs w:val="20"/>
        </w:rPr>
      </w:pPr>
      <w:r w:rsidRPr="00FF3F3E">
        <w:rPr>
          <w:rFonts w:cstheme="minorHAnsi"/>
          <w:sz w:val="20"/>
          <w:szCs w:val="20"/>
        </w:rPr>
        <w:t xml:space="preserve">Następnie wydatki </w:t>
      </w:r>
      <w:r w:rsidR="008E3D46">
        <w:rPr>
          <w:rFonts w:cstheme="minorHAnsi"/>
          <w:sz w:val="20"/>
          <w:szCs w:val="20"/>
        </w:rPr>
        <w:t xml:space="preserve">kwalifikowalne </w:t>
      </w:r>
      <w:r w:rsidRPr="00FF3F3E">
        <w:rPr>
          <w:rFonts w:cstheme="minorHAnsi"/>
          <w:sz w:val="20"/>
          <w:szCs w:val="20"/>
        </w:rPr>
        <w:t>związane z pomocą publiczną zgodnie z art. 48 GBER należy w rozbiciu na poszczególne lata</w:t>
      </w:r>
      <w:r w:rsidR="008E3D46">
        <w:rPr>
          <w:rFonts w:cstheme="minorHAnsi"/>
          <w:sz w:val="20"/>
          <w:szCs w:val="20"/>
        </w:rPr>
        <w:t>, w okresie realizacji projektu”</w:t>
      </w:r>
      <w:r w:rsidRPr="00FF3F3E">
        <w:rPr>
          <w:rFonts w:cstheme="minorHAnsi"/>
          <w:sz w:val="20"/>
          <w:szCs w:val="20"/>
        </w:rPr>
        <w:t xml:space="preserve"> wpisać do zakładki „Zysk operacyjny”:</w:t>
      </w:r>
    </w:p>
    <w:p w:rsidR="00FB102E" w:rsidRPr="00FF3F3E" w:rsidRDefault="00FB102E" w:rsidP="005929D7">
      <w:pPr>
        <w:spacing w:after="0" w:line="240" w:lineRule="auto"/>
        <w:jc w:val="both"/>
        <w:rPr>
          <w:rFonts w:cstheme="minorHAnsi"/>
          <w:sz w:val="20"/>
          <w:szCs w:val="20"/>
        </w:rPr>
      </w:pPr>
    </w:p>
    <w:p w:rsidR="00FB102E" w:rsidRPr="00FF3F3E" w:rsidRDefault="00BC2F35" w:rsidP="00BC2F35">
      <w:pPr>
        <w:spacing w:after="0" w:line="240" w:lineRule="auto"/>
        <w:jc w:val="center"/>
        <w:rPr>
          <w:rFonts w:cstheme="minorHAnsi"/>
          <w:sz w:val="20"/>
          <w:szCs w:val="20"/>
        </w:rPr>
      </w:pPr>
      <w:r w:rsidRPr="00FF3F3E">
        <w:rPr>
          <w:rFonts w:cstheme="minorHAnsi"/>
          <w:noProof/>
          <w:sz w:val="20"/>
          <w:szCs w:val="20"/>
          <w:lang w:eastAsia="pl-PL"/>
        </w:rPr>
        <w:drawing>
          <wp:inline distT="0" distB="0" distL="0" distR="0">
            <wp:extent cx="4989830" cy="2254250"/>
            <wp:effectExtent l="0" t="0" r="127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89830" cy="2254250"/>
                    </a:xfrm>
                    <a:prstGeom prst="rect">
                      <a:avLst/>
                    </a:prstGeom>
                    <a:noFill/>
                    <a:ln>
                      <a:noFill/>
                    </a:ln>
                  </pic:spPr>
                </pic:pic>
              </a:graphicData>
            </a:graphic>
          </wp:inline>
        </w:drawing>
      </w:r>
    </w:p>
    <w:p w:rsidR="00BC2F35" w:rsidRPr="00FF3F3E" w:rsidRDefault="00BC2F35" w:rsidP="00BC2F35">
      <w:pPr>
        <w:spacing w:after="0" w:line="240" w:lineRule="auto"/>
        <w:jc w:val="center"/>
        <w:rPr>
          <w:rFonts w:cstheme="minorHAnsi"/>
          <w:sz w:val="20"/>
          <w:szCs w:val="20"/>
        </w:rPr>
      </w:pPr>
    </w:p>
    <w:p w:rsidR="00BC2F35" w:rsidRPr="00FF3F3E" w:rsidRDefault="00BC2F35" w:rsidP="00BC2F35">
      <w:pPr>
        <w:spacing w:after="0" w:line="240" w:lineRule="auto"/>
        <w:jc w:val="both"/>
        <w:rPr>
          <w:rFonts w:cstheme="minorHAnsi"/>
          <w:sz w:val="20"/>
          <w:szCs w:val="20"/>
        </w:rPr>
      </w:pPr>
      <w:r w:rsidRPr="00FF3F3E">
        <w:rPr>
          <w:rFonts w:cstheme="minorHAnsi"/>
          <w:sz w:val="20"/>
          <w:szCs w:val="20"/>
        </w:rPr>
        <w:t>W zakładce „Zysk operacyjny” pod sumą kosztów kwalifikowalnych związanych z pomocą publiczną zgodnie z art. 48 GBER znajduje się kontrolka, która pilnuje zgodności sum:</w:t>
      </w:r>
    </w:p>
    <w:p w:rsidR="00BC2F35" w:rsidRPr="00FF3F3E" w:rsidRDefault="00BC2F35" w:rsidP="00BC2F35">
      <w:pPr>
        <w:spacing w:after="0" w:line="240" w:lineRule="auto"/>
        <w:jc w:val="both"/>
        <w:rPr>
          <w:rFonts w:cstheme="minorHAnsi"/>
          <w:sz w:val="20"/>
          <w:szCs w:val="20"/>
        </w:rPr>
      </w:pPr>
    </w:p>
    <w:p w:rsidR="00BC2F35" w:rsidRPr="00FF3F3E" w:rsidRDefault="00BC2F35" w:rsidP="00BC2F35">
      <w:pPr>
        <w:spacing w:after="0" w:line="240" w:lineRule="auto"/>
        <w:jc w:val="center"/>
        <w:rPr>
          <w:rFonts w:cstheme="minorHAnsi"/>
          <w:sz w:val="20"/>
          <w:szCs w:val="20"/>
        </w:rPr>
      </w:pPr>
      <w:r w:rsidRPr="00FF3F3E">
        <w:rPr>
          <w:rFonts w:cstheme="minorHAnsi"/>
          <w:noProof/>
          <w:sz w:val="20"/>
          <w:szCs w:val="20"/>
          <w:lang w:eastAsia="pl-PL"/>
        </w:rPr>
        <w:lastRenderedPageBreak/>
        <w:drawing>
          <wp:inline distT="0" distB="0" distL="0" distR="0">
            <wp:extent cx="4658995" cy="2616835"/>
            <wp:effectExtent l="0" t="0" r="8255"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58995" cy="2616835"/>
                    </a:xfrm>
                    <a:prstGeom prst="rect">
                      <a:avLst/>
                    </a:prstGeom>
                    <a:noFill/>
                    <a:ln>
                      <a:noFill/>
                    </a:ln>
                  </pic:spPr>
                </pic:pic>
              </a:graphicData>
            </a:graphic>
          </wp:inline>
        </w:drawing>
      </w:r>
    </w:p>
    <w:p w:rsidR="00BC2F35" w:rsidRPr="00FF3F3E" w:rsidRDefault="00BC2F35" w:rsidP="00BC2F35">
      <w:pPr>
        <w:spacing w:after="0" w:line="240" w:lineRule="auto"/>
        <w:rPr>
          <w:rFonts w:cstheme="minorHAnsi"/>
          <w:sz w:val="20"/>
          <w:szCs w:val="20"/>
        </w:rPr>
      </w:pPr>
      <w:r w:rsidRPr="00FF3F3E">
        <w:rPr>
          <w:rFonts w:cstheme="minorHAnsi"/>
          <w:sz w:val="20"/>
          <w:szCs w:val="20"/>
        </w:rPr>
        <w:t>Po wpisaniu kosztów kwalifikowalnych zostanie wyliczony zysk operacyjny, który będzie uwzględniany przy wyliczeniu dofinansowania do wydatków kwalifikowalnych związanych z pomocą publiczną zgodnie z art. 48 GBER:</w:t>
      </w:r>
    </w:p>
    <w:p w:rsidR="00104976" w:rsidRPr="00FF3F3E" w:rsidRDefault="000F1771" w:rsidP="00BC2F35">
      <w:pPr>
        <w:spacing w:after="0" w:line="240" w:lineRule="auto"/>
        <w:rPr>
          <w:rFonts w:cstheme="minorHAnsi"/>
          <w:sz w:val="20"/>
          <w:szCs w:val="20"/>
        </w:rPr>
      </w:pPr>
      <w:r w:rsidRPr="00FF3F3E">
        <w:rPr>
          <w:rFonts w:cstheme="minorHAnsi"/>
          <w:noProof/>
          <w:sz w:val="20"/>
          <w:szCs w:val="20"/>
          <w:lang w:eastAsia="pl-PL"/>
        </w:rPr>
        <w:drawing>
          <wp:inline distT="0" distB="0" distL="0" distR="0">
            <wp:extent cx="6116955" cy="2963918"/>
            <wp:effectExtent l="0" t="0" r="0" b="825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002" cy="2965394"/>
                    </a:xfrm>
                    <a:prstGeom prst="rect">
                      <a:avLst/>
                    </a:prstGeom>
                    <a:noFill/>
                    <a:ln>
                      <a:noFill/>
                    </a:ln>
                  </pic:spPr>
                </pic:pic>
              </a:graphicData>
            </a:graphic>
          </wp:inline>
        </w:drawing>
      </w:r>
    </w:p>
    <w:p w:rsidR="00104976" w:rsidRPr="00FF3F3E" w:rsidRDefault="00104976" w:rsidP="00BC2F35">
      <w:pPr>
        <w:spacing w:after="0" w:line="240" w:lineRule="auto"/>
        <w:rPr>
          <w:rFonts w:cstheme="minorHAnsi"/>
          <w:sz w:val="20"/>
          <w:szCs w:val="20"/>
        </w:rPr>
      </w:pPr>
    </w:p>
    <w:p w:rsidR="000F1771" w:rsidRPr="00FF3F3E" w:rsidRDefault="000F1771" w:rsidP="000F1771">
      <w:pPr>
        <w:pStyle w:val="ListParagraph"/>
        <w:numPr>
          <w:ilvl w:val="0"/>
          <w:numId w:val="1"/>
        </w:numPr>
        <w:spacing w:after="0" w:line="240" w:lineRule="auto"/>
        <w:rPr>
          <w:rFonts w:cstheme="minorHAnsi"/>
          <w:sz w:val="20"/>
          <w:szCs w:val="20"/>
        </w:rPr>
      </w:pPr>
      <w:r w:rsidRPr="00FF3F3E">
        <w:rPr>
          <w:rFonts w:cstheme="minorHAnsi"/>
          <w:sz w:val="20"/>
          <w:szCs w:val="20"/>
        </w:rPr>
        <w:t>Zakładka „Podsumowanie” – wartości w zakładce „Podsumowanie” obliczane są automatycznie.</w:t>
      </w:r>
    </w:p>
    <w:p w:rsidR="000F1771" w:rsidRPr="00FF3F3E" w:rsidRDefault="000F1771" w:rsidP="000F1771">
      <w:pPr>
        <w:pStyle w:val="ListParagraph"/>
        <w:spacing w:after="0" w:line="240" w:lineRule="auto"/>
        <w:rPr>
          <w:rFonts w:cstheme="minorHAnsi"/>
          <w:sz w:val="20"/>
          <w:szCs w:val="20"/>
        </w:rPr>
      </w:pPr>
      <w:r w:rsidRPr="00FF3F3E">
        <w:rPr>
          <w:rFonts w:cstheme="minorHAnsi"/>
          <w:noProof/>
          <w:sz w:val="20"/>
          <w:szCs w:val="20"/>
          <w:lang w:eastAsia="pl-PL"/>
        </w:rPr>
        <w:lastRenderedPageBreak/>
        <w:drawing>
          <wp:inline distT="0" distB="0" distL="0" distR="0">
            <wp:extent cx="6116320" cy="6047105"/>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6320" cy="6047105"/>
                    </a:xfrm>
                    <a:prstGeom prst="rect">
                      <a:avLst/>
                    </a:prstGeom>
                    <a:noFill/>
                    <a:ln>
                      <a:noFill/>
                    </a:ln>
                  </pic:spPr>
                </pic:pic>
              </a:graphicData>
            </a:graphic>
          </wp:inline>
        </w:drawing>
      </w:r>
    </w:p>
    <w:p w:rsidR="000F1771" w:rsidRPr="00FF3F3E" w:rsidRDefault="000F1771" w:rsidP="000F1771">
      <w:pPr>
        <w:pStyle w:val="ListParagraph"/>
        <w:numPr>
          <w:ilvl w:val="0"/>
          <w:numId w:val="1"/>
        </w:numPr>
        <w:spacing w:after="0" w:line="240" w:lineRule="auto"/>
        <w:rPr>
          <w:rFonts w:cstheme="minorHAnsi"/>
          <w:sz w:val="20"/>
          <w:szCs w:val="20"/>
        </w:rPr>
      </w:pPr>
      <w:r w:rsidRPr="00FF3F3E">
        <w:rPr>
          <w:rFonts w:cstheme="minorHAnsi"/>
          <w:sz w:val="20"/>
          <w:szCs w:val="20"/>
        </w:rPr>
        <w:t xml:space="preserve">Zakładka „T”. </w:t>
      </w:r>
    </w:p>
    <w:p w:rsidR="000F1771" w:rsidRPr="00FF3F3E" w:rsidRDefault="000F1771" w:rsidP="000F1771">
      <w:pPr>
        <w:spacing w:after="0" w:line="240" w:lineRule="auto"/>
        <w:rPr>
          <w:rFonts w:cstheme="minorHAnsi"/>
          <w:sz w:val="20"/>
          <w:szCs w:val="20"/>
        </w:rPr>
      </w:pPr>
    </w:p>
    <w:p w:rsidR="000F1771" w:rsidRPr="00FF3F3E" w:rsidRDefault="000F1771" w:rsidP="000F1771">
      <w:pPr>
        <w:spacing w:after="0" w:line="240" w:lineRule="auto"/>
        <w:jc w:val="both"/>
        <w:rPr>
          <w:rFonts w:cstheme="minorHAnsi"/>
          <w:sz w:val="20"/>
          <w:szCs w:val="20"/>
        </w:rPr>
      </w:pPr>
      <w:r w:rsidRPr="00FF3F3E">
        <w:rPr>
          <w:rFonts w:cstheme="minorHAnsi"/>
          <w:sz w:val="20"/>
          <w:szCs w:val="20"/>
        </w:rPr>
        <w:t>Po wypełnieniu zakładek „Zysk operacyjny”, „Wnioskodawca”, „Partner 1”, itd. Wypełnianie pliku należy zakończyć wypełnieniem zakładki „T”.</w:t>
      </w:r>
    </w:p>
    <w:p w:rsidR="000F1771" w:rsidRPr="00FF3F3E" w:rsidRDefault="000F1771" w:rsidP="000F1771">
      <w:pPr>
        <w:spacing w:after="0" w:line="240" w:lineRule="auto"/>
        <w:jc w:val="both"/>
        <w:rPr>
          <w:rFonts w:cstheme="minorHAnsi"/>
          <w:sz w:val="20"/>
          <w:szCs w:val="20"/>
        </w:rPr>
      </w:pPr>
    </w:p>
    <w:p w:rsidR="000F1771" w:rsidRPr="00FF3F3E" w:rsidRDefault="000F1771" w:rsidP="000F1771">
      <w:pPr>
        <w:spacing w:after="0" w:line="240" w:lineRule="auto"/>
        <w:jc w:val="both"/>
        <w:rPr>
          <w:rFonts w:cstheme="minorHAnsi"/>
          <w:sz w:val="20"/>
          <w:szCs w:val="20"/>
        </w:rPr>
      </w:pPr>
      <w:r w:rsidRPr="00FF3F3E">
        <w:rPr>
          <w:rFonts w:cstheme="minorHAnsi"/>
          <w:sz w:val="20"/>
          <w:szCs w:val="20"/>
        </w:rPr>
        <w:t>Część danych do zakładki „T” są automatycznie przenoszone z zakładki „Podsumowanie”:</w:t>
      </w:r>
    </w:p>
    <w:p w:rsidR="000F1771" w:rsidRPr="00FF3F3E" w:rsidRDefault="000F1771" w:rsidP="000F1771">
      <w:pPr>
        <w:spacing w:after="0" w:line="240" w:lineRule="auto"/>
        <w:jc w:val="both"/>
        <w:rPr>
          <w:rFonts w:cstheme="minorHAnsi"/>
          <w:sz w:val="20"/>
          <w:szCs w:val="20"/>
        </w:rPr>
      </w:pPr>
    </w:p>
    <w:p w:rsidR="000F1771" w:rsidRPr="00FF3F3E" w:rsidRDefault="000F1771" w:rsidP="000F1771">
      <w:pPr>
        <w:spacing w:after="0" w:line="240" w:lineRule="auto"/>
        <w:jc w:val="center"/>
        <w:rPr>
          <w:rFonts w:cstheme="minorHAnsi"/>
          <w:sz w:val="20"/>
          <w:szCs w:val="20"/>
        </w:rPr>
      </w:pPr>
      <w:r w:rsidRPr="00FF3F3E">
        <w:rPr>
          <w:rFonts w:cstheme="minorHAnsi"/>
          <w:noProof/>
          <w:sz w:val="20"/>
          <w:szCs w:val="20"/>
          <w:lang w:eastAsia="pl-PL"/>
        </w:rPr>
        <w:lastRenderedPageBreak/>
        <w:drawing>
          <wp:inline distT="0" distB="0" distL="0" distR="0">
            <wp:extent cx="6116955" cy="5060950"/>
            <wp:effectExtent l="0" t="0" r="0" b="635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6955" cy="5060950"/>
                    </a:xfrm>
                    <a:prstGeom prst="rect">
                      <a:avLst/>
                    </a:prstGeom>
                    <a:noFill/>
                    <a:ln>
                      <a:noFill/>
                    </a:ln>
                  </pic:spPr>
                </pic:pic>
              </a:graphicData>
            </a:graphic>
          </wp:inline>
        </w:drawing>
      </w:r>
    </w:p>
    <w:p w:rsidR="000F1771" w:rsidRPr="00FF3F3E" w:rsidRDefault="000F1771" w:rsidP="00BC2F35">
      <w:pPr>
        <w:spacing w:after="0" w:line="240" w:lineRule="auto"/>
        <w:rPr>
          <w:rFonts w:cstheme="minorHAnsi"/>
          <w:sz w:val="20"/>
          <w:szCs w:val="20"/>
        </w:rPr>
      </w:pPr>
    </w:p>
    <w:p w:rsidR="000F1771" w:rsidRPr="00FF3F3E" w:rsidRDefault="000F1771" w:rsidP="00BC2F35">
      <w:pPr>
        <w:spacing w:after="0" w:line="240" w:lineRule="auto"/>
        <w:rPr>
          <w:rFonts w:cstheme="minorHAnsi"/>
          <w:sz w:val="20"/>
          <w:szCs w:val="20"/>
        </w:rPr>
      </w:pPr>
      <w:r w:rsidRPr="00FF3F3E">
        <w:rPr>
          <w:rFonts w:cstheme="minorHAnsi"/>
          <w:sz w:val="20"/>
          <w:szCs w:val="20"/>
        </w:rPr>
        <w:t xml:space="preserve">W zakładce „T” należy wypełnić </w:t>
      </w:r>
      <w:r w:rsidR="00A13AB7" w:rsidRPr="00FF3F3E">
        <w:rPr>
          <w:rFonts w:cstheme="minorHAnsi"/>
          <w:sz w:val="20"/>
          <w:szCs w:val="20"/>
        </w:rPr>
        <w:t>wiersze</w:t>
      </w:r>
      <w:r w:rsidRPr="00FF3F3E">
        <w:rPr>
          <w:rFonts w:cstheme="minorHAnsi"/>
          <w:sz w:val="20"/>
          <w:szCs w:val="20"/>
        </w:rPr>
        <w:t xml:space="preserve"> 2.1, 2.2 oraz 2.3</w:t>
      </w:r>
      <w:r w:rsidR="00A13AB7" w:rsidRPr="00FF3F3E">
        <w:rPr>
          <w:rFonts w:cstheme="minorHAnsi"/>
          <w:sz w:val="20"/>
          <w:szCs w:val="20"/>
        </w:rPr>
        <w:t xml:space="preserve"> oraz wiersz „w tym EBI”:</w:t>
      </w:r>
    </w:p>
    <w:p w:rsidR="00A13AB7" w:rsidRPr="00FF3F3E" w:rsidRDefault="00A13AB7" w:rsidP="00BC2F35">
      <w:pPr>
        <w:spacing w:after="0" w:line="240" w:lineRule="auto"/>
        <w:rPr>
          <w:rFonts w:cstheme="minorHAnsi"/>
          <w:sz w:val="20"/>
          <w:szCs w:val="20"/>
        </w:rPr>
      </w:pPr>
      <w:r w:rsidRPr="00FF3F3E">
        <w:rPr>
          <w:rFonts w:cstheme="minorHAnsi"/>
          <w:noProof/>
          <w:sz w:val="20"/>
          <w:szCs w:val="20"/>
          <w:lang w:eastAsia="pl-PL"/>
        </w:rPr>
        <w:drawing>
          <wp:inline distT="0" distB="0" distL="0" distR="0">
            <wp:extent cx="6116955" cy="2774950"/>
            <wp:effectExtent l="0" t="0" r="0" b="635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16955" cy="2774950"/>
                    </a:xfrm>
                    <a:prstGeom prst="rect">
                      <a:avLst/>
                    </a:prstGeom>
                    <a:noFill/>
                    <a:ln>
                      <a:noFill/>
                    </a:ln>
                  </pic:spPr>
                </pic:pic>
              </a:graphicData>
            </a:graphic>
          </wp:inline>
        </w:drawing>
      </w:r>
    </w:p>
    <w:p w:rsidR="000F1771" w:rsidRPr="00FF3F3E" w:rsidRDefault="000F1771" w:rsidP="00BC2F35">
      <w:pPr>
        <w:spacing w:after="0" w:line="240" w:lineRule="auto"/>
        <w:rPr>
          <w:rFonts w:cstheme="minorHAnsi"/>
          <w:sz w:val="20"/>
          <w:szCs w:val="20"/>
        </w:rPr>
      </w:pPr>
    </w:p>
    <w:p w:rsidR="00A13AB7" w:rsidRPr="00FF3F3E" w:rsidRDefault="00A13AB7" w:rsidP="00BC2F35">
      <w:pPr>
        <w:spacing w:after="0" w:line="240" w:lineRule="auto"/>
        <w:rPr>
          <w:rFonts w:cstheme="minorHAnsi"/>
          <w:sz w:val="20"/>
          <w:szCs w:val="20"/>
        </w:rPr>
      </w:pPr>
      <w:r w:rsidRPr="00FF3F3E">
        <w:rPr>
          <w:rFonts w:cstheme="minorHAnsi"/>
          <w:sz w:val="20"/>
          <w:szCs w:val="20"/>
        </w:rPr>
        <w:t>Po zakończeniu należy zapisać plik. Podczas zapisywania automatycznie nadawane jest suma kontrolna (inna przy każdej próbie zapisu plik), która jest widoczna w każdej zakładce.</w:t>
      </w:r>
      <w:bookmarkEnd w:id="1"/>
    </w:p>
    <w:sectPr w:rsidR="00A13AB7" w:rsidRPr="00FF3F3E" w:rsidSect="00707A65">
      <w:headerReference w:type="first" r:id="rId42"/>
      <w:footerReference w:type="first" r:id="rId43"/>
      <w:pgSz w:w="11906" w:h="16838"/>
      <w:pgMar w:top="1417" w:right="1417" w:bottom="426"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D14" w:rsidRDefault="00C57D14" w:rsidP="008C504B">
      <w:pPr>
        <w:spacing w:after="0" w:line="240" w:lineRule="auto"/>
      </w:pPr>
      <w:r>
        <w:separator/>
      </w:r>
    </w:p>
  </w:endnote>
  <w:endnote w:type="continuationSeparator" w:id="0">
    <w:p w:rsidR="00C57D14" w:rsidRDefault="00C57D14" w:rsidP="008C5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A65" w:rsidRPr="00C41932" w:rsidRDefault="00707A65" w:rsidP="00707A65">
    <w:pPr>
      <w:jc w:val="center"/>
      <w:rPr>
        <w:noProof/>
        <w:sz w:val="12"/>
        <w:szCs w:val="12"/>
      </w:rPr>
    </w:pPr>
    <w:r w:rsidRPr="00C41932">
      <w:rPr>
        <w:noProof/>
        <w:sz w:val="12"/>
        <w:szCs w:val="12"/>
        <w:lang w:eastAsia="pl-PL"/>
      </w:rPr>
      <w:drawing>
        <wp:inline distT="0" distB="0" distL="0" distR="0">
          <wp:extent cx="4968552" cy="620051"/>
          <wp:effectExtent l="0" t="0" r="3810" b="8890"/>
          <wp:docPr id="14"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8552" cy="620051"/>
                  </a:xfrm>
                  <a:prstGeom prst="rect">
                    <a:avLst/>
                  </a:prstGeom>
                  <a:noFill/>
                </pic:spPr>
              </pic:pic>
            </a:graphicData>
          </a:graphic>
        </wp:inline>
      </w:drawing>
    </w:r>
  </w:p>
  <w:p w:rsidR="00707A65" w:rsidRPr="00F076EA" w:rsidRDefault="00707A65" w:rsidP="00707A65">
    <w:pPr>
      <w:jc w:val="center"/>
      <w:rPr>
        <w:b/>
        <w:i/>
        <w:sz w:val="16"/>
        <w:szCs w:val="16"/>
      </w:rPr>
    </w:pPr>
    <w:r>
      <w:rPr>
        <w:b/>
        <w:i/>
        <w:sz w:val="16"/>
        <w:szCs w:val="16"/>
      </w:rPr>
      <w:t xml:space="preserve">Projekt współfinansowany ze środków  Europejskiego Funduszu Społecznego    </w:t>
    </w:r>
  </w:p>
  <w:p w:rsidR="00707A65" w:rsidRDefault="00707A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D14" w:rsidRDefault="00C57D14" w:rsidP="008C504B">
      <w:pPr>
        <w:spacing w:after="0" w:line="240" w:lineRule="auto"/>
      </w:pPr>
      <w:r>
        <w:separator/>
      </w:r>
    </w:p>
  </w:footnote>
  <w:footnote w:type="continuationSeparator" w:id="0">
    <w:p w:rsidR="00C57D14" w:rsidRDefault="00C57D14" w:rsidP="008C50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A65" w:rsidRDefault="00707A65" w:rsidP="00707A65">
    <w:pPr>
      <w:jc w:val="right"/>
      <w:rPr>
        <w:rFonts w:ascii="Verdana" w:hAnsi="Verdana"/>
        <w:noProof/>
        <w:color w:val="000000"/>
        <w:sz w:val="14"/>
        <w:szCs w:val="14"/>
      </w:rPr>
    </w:pPr>
    <w:r>
      <w:rPr>
        <w:noProof/>
        <w:lang w:eastAsia="pl-PL"/>
      </w:rPr>
      <w:drawing>
        <wp:inline distT="0" distB="0" distL="0" distR="0">
          <wp:extent cx="1629271" cy="499174"/>
          <wp:effectExtent l="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chemeClr val="accent1"/>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chemeClr val="tx1"/>
                        </a:solidFill>
                        <a:miter lim="800000"/>
                        <a:headEnd/>
                        <a:tailEnd/>
                      </a14:hiddenLine>
                    </a:ext>
                    <a:ext uri="{AF507438-7753-43E0-B8FC-AC1667EBCBE1}">
                      <a14:hiddenEffect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ffectLst>
                          <a:outerShdw dist="35921" dir="2700000" algn="ctr" rotWithShape="0">
                            <a:schemeClr val="bg2"/>
                          </a:outerShdw>
                        </a:effectLst>
                      </a14:hiddenEffects>
                    </a:ext>
                  </a:extLst>
                </pic:spPr>
              </pic:pic>
            </a:graphicData>
          </a:graphic>
        </wp:inline>
      </w:drawing>
    </w:r>
  </w:p>
  <w:p w:rsidR="00707A65" w:rsidRPr="005F5249" w:rsidRDefault="00707A65" w:rsidP="00707A65">
    <w:pPr>
      <w:jc w:val="right"/>
      <w:rPr>
        <w:noProof/>
        <w:sz w:val="16"/>
        <w:szCs w:val="16"/>
        <w:u w:val="single"/>
      </w:rPr>
    </w:pPr>
    <w:r w:rsidRPr="005F5249">
      <w:rPr>
        <w:noProof/>
        <w:color w:val="000000"/>
        <w:sz w:val="16"/>
        <w:szCs w:val="16"/>
      </w:rPr>
      <w:t>Ul. Strzegomska 2-4, 53-611 Wrocław, tel. +48 71</w:t>
    </w:r>
    <w:r>
      <w:rPr>
        <w:noProof/>
        <w:color w:val="000000"/>
        <w:sz w:val="16"/>
        <w:szCs w:val="16"/>
      </w:rPr>
      <w:t xml:space="preserve"> 776 58 00, </w:t>
    </w:r>
  </w:p>
  <w:p w:rsidR="00707A65" w:rsidRPr="00707A65" w:rsidRDefault="00C0679E" w:rsidP="00707A65">
    <w:pPr>
      <w:pStyle w:val="Footer"/>
      <w:jc w:val="right"/>
      <w:rPr>
        <w:sz w:val="16"/>
        <w:szCs w:val="16"/>
      </w:rPr>
    </w:pPr>
    <w:hyperlink r:id="rId2" w:history="1">
      <w:r w:rsidR="00707A65" w:rsidRPr="00120363">
        <w:rPr>
          <w:rStyle w:val="Hyperlink"/>
        </w:rPr>
        <w:t>sekretariat@dip.dolnyslask.pl</w:t>
      </w:r>
    </w:hyperlink>
    <w:r w:rsidR="00707A65" w:rsidRPr="00120363">
      <w:rPr>
        <w:sz w:val="16"/>
        <w:szCs w:val="16"/>
      </w:rPr>
      <w:t xml:space="preserve">, </w:t>
    </w:r>
    <w:hyperlink r:id="rId3" w:history="1">
      <w:r w:rsidR="00707A65" w:rsidRPr="009D450E">
        <w:rPr>
          <w:rStyle w:val="Hyperlink"/>
        </w:rPr>
        <w:t>www.dip.dolnyslask.pl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D4791"/>
    <w:multiLevelType w:val="hybridMultilevel"/>
    <w:tmpl w:val="50543566"/>
    <w:lvl w:ilvl="0" w:tplc="8228AA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2933D73"/>
    <w:multiLevelType w:val="hybridMultilevel"/>
    <w:tmpl w:val="D108D8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5777106"/>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29DA5B19"/>
    <w:multiLevelType w:val="hybridMultilevel"/>
    <w:tmpl w:val="041860AA"/>
    <w:lvl w:ilvl="0" w:tplc="633667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3C9D052E"/>
    <w:multiLevelType w:val="hybridMultilevel"/>
    <w:tmpl w:val="EFAC3A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54087FD8"/>
    <w:multiLevelType w:val="hybridMultilevel"/>
    <w:tmpl w:val="AE486EF8"/>
    <w:lvl w:ilvl="0" w:tplc="B294551C">
      <w:start w:val="1"/>
      <w:numFmt w:val="decimal"/>
      <w:lvlText w:val="%1."/>
      <w:lvlJc w:val="left"/>
      <w:pPr>
        <w:ind w:left="720" w:hanging="360"/>
      </w:pPr>
      <w:rPr>
        <w:rFonts w:ascii="Calibri" w:eastAsia="Calibri" w:hAnsi="Calibri" w:cs="Calibri"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570A5526"/>
    <w:multiLevelType w:val="hybridMultilevel"/>
    <w:tmpl w:val="070478A8"/>
    <w:lvl w:ilvl="0" w:tplc="E122915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5FF22295"/>
    <w:multiLevelType w:val="hybridMultilevel"/>
    <w:tmpl w:val="DB1445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1424CF2"/>
    <w:multiLevelType w:val="hybridMultilevel"/>
    <w:tmpl w:val="7F86A75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num w:numId="1">
    <w:abstractNumId w:val="1"/>
  </w:num>
  <w:num w:numId="2">
    <w:abstractNumId w:val="8"/>
  </w:num>
  <w:num w:numId="3">
    <w:abstractNumId w:val="6"/>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2"/>
  </w:num>
  <w:num w:numId="9">
    <w:abstractNumId w:val="3"/>
  </w:num>
  <w:num w:numId="10">
    <w:abstractNumId w:val="9"/>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F303F8"/>
    <w:rsid w:val="0007604D"/>
    <w:rsid w:val="0008052E"/>
    <w:rsid w:val="000C40A7"/>
    <w:rsid w:val="000C622E"/>
    <w:rsid w:val="000F1771"/>
    <w:rsid w:val="00104976"/>
    <w:rsid w:val="0017346A"/>
    <w:rsid w:val="001762BB"/>
    <w:rsid w:val="0033596A"/>
    <w:rsid w:val="00362B64"/>
    <w:rsid w:val="004272D9"/>
    <w:rsid w:val="00495F76"/>
    <w:rsid w:val="004E53D0"/>
    <w:rsid w:val="00506387"/>
    <w:rsid w:val="00582C0C"/>
    <w:rsid w:val="005929D7"/>
    <w:rsid w:val="00662B9A"/>
    <w:rsid w:val="006921B6"/>
    <w:rsid w:val="006D1045"/>
    <w:rsid w:val="00707A65"/>
    <w:rsid w:val="00761F46"/>
    <w:rsid w:val="0081182C"/>
    <w:rsid w:val="008C504B"/>
    <w:rsid w:val="008E3D46"/>
    <w:rsid w:val="00A13AB7"/>
    <w:rsid w:val="00A84D72"/>
    <w:rsid w:val="00B472F4"/>
    <w:rsid w:val="00BC2F35"/>
    <w:rsid w:val="00BD1AA0"/>
    <w:rsid w:val="00C0679E"/>
    <w:rsid w:val="00C57D14"/>
    <w:rsid w:val="00C938D3"/>
    <w:rsid w:val="00D504B0"/>
    <w:rsid w:val="00D5701F"/>
    <w:rsid w:val="00DF24FC"/>
    <w:rsid w:val="00DF4CA4"/>
    <w:rsid w:val="00F303F8"/>
    <w:rsid w:val="00FB102E"/>
    <w:rsid w:val="00FF3F3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erowanie,Akapit z listą BS,Akapit z listą1,Punkt 1.1,Kolorowa lista — akcent 11"/>
    <w:basedOn w:val="Normal"/>
    <w:link w:val="ListParagraphChar"/>
    <w:uiPriority w:val="34"/>
    <w:qFormat/>
    <w:rsid w:val="00DF24FC"/>
    <w:pPr>
      <w:ind w:left="720"/>
      <w:contextualSpacing/>
    </w:pPr>
  </w:style>
  <w:style w:type="table" w:styleId="TableGrid">
    <w:name w:val="Table Grid"/>
    <w:basedOn w:val="TableNormal"/>
    <w:uiPriority w:val="39"/>
    <w:rsid w:val="000805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76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2BB"/>
    <w:rPr>
      <w:rFonts w:ascii="Segoe UI" w:hAnsi="Segoe UI" w:cs="Segoe UI"/>
      <w:sz w:val="18"/>
      <w:szCs w:val="18"/>
    </w:rPr>
  </w:style>
  <w:style w:type="character" w:customStyle="1" w:styleId="ListParagraphChar">
    <w:name w:val="List Paragraph Char"/>
    <w:aliases w:val="Numerowanie Char,Akapit z listą BS Char,Akapit z listą1 Char,Punkt 1.1 Char,Kolorowa lista — akcent 11 Char"/>
    <w:link w:val="ListParagraph"/>
    <w:uiPriority w:val="34"/>
    <w:qFormat/>
    <w:rsid w:val="004272D9"/>
  </w:style>
  <w:style w:type="paragraph" w:styleId="Header">
    <w:name w:val="header"/>
    <w:aliases w:val="Znak Znak,Znak"/>
    <w:basedOn w:val="Normal"/>
    <w:link w:val="HeaderChar"/>
    <w:uiPriority w:val="99"/>
    <w:unhideWhenUsed/>
    <w:rsid w:val="008C504B"/>
    <w:pPr>
      <w:tabs>
        <w:tab w:val="center" w:pos="4536"/>
        <w:tab w:val="right" w:pos="9072"/>
      </w:tabs>
      <w:spacing w:after="0" w:line="240" w:lineRule="auto"/>
    </w:pPr>
  </w:style>
  <w:style w:type="character" w:customStyle="1" w:styleId="HeaderChar">
    <w:name w:val="Header Char"/>
    <w:aliases w:val="Znak Znak Char,Znak Char"/>
    <w:basedOn w:val="DefaultParagraphFont"/>
    <w:link w:val="Header"/>
    <w:uiPriority w:val="99"/>
    <w:rsid w:val="008C504B"/>
  </w:style>
  <w:style w:type="paragraph" w:styleId="Footer">
    <w:name w:val="footer"/>
    <w:basedOn w:val="Normal"/>
    <w:link w:val="FooterChar"/>
    <w:uiPriority w:val="99"/>
    <w:unhideWhenUsed/>
    <w:rsid w:val="008C50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C504B"/>
  </w:style>
  <w:style w:type="character" w:styleId="Hyperlink">
    <w:name w:val="Hyperlink"/>
    <w:basedOn w:val="DefaultParagraphFont"/>
    <w:uiPriority w:val="99"/>
    <w:unhideWhenUsed/>
    <w:rsid w:val="00707A65"/>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image" Target="media/image15.png"/><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oleObject" Target="embeddings/oleObject4.bin"/><Relationship Id="rId34" Type="http://schemas.openxmlformats.org/officeDocument/2006/relationships/image" Target="media/image20.png"/><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oleObject" Target="embeddings/oleObject2.bin"/><Relationship Id="rId25" Type="http://schemas.openxmlformats.org/officeDocument/2006/relationships/image" Target="media/image14.png"/><Relationship Id="rId33" Type="http://schemas.openxmlformats.org/officeDocument/2006/relationships/oleObject" Target="embeddings/oleObject7.bin"/><Relationship Id="rId38"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0.png"/><Relationship Id="rId29" Type="http://schemas.openxmlformats.org/officeDocument/2006/relationships/oleObject" Target="embeddings/oleObject5.bin"/><Relationship Id="rId41" Type="http://schemas.openxmlformats.org/officeDocument/2006/relationships/image" Target="media/image2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3.png"/><Relationship Id="rId32" Type="http://schemas.openxmlformats.org/officeDocument/2006/relationships/image" Target="media/image19.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2.png"/><Relationship Id="rId10" Type="http://schemas.openxmlformats.org/officeDocument/2006/relationships/image" Target="media/image3.png"/><Relationship Id="rId19" Type="http://schemas.openxmlformats.org/officeDocument/2006/relationships/oleObject" Target="embeddings/oleObject3.bin"/><Relationship Id="rId31" Type="http://schemas.openxmlformats.org/officeDocument/2006/relationships/oleObject" Target="embeddings/oleObject6.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8.png"/><Relationship Id="rId35" Type="http://schemas.openxmlformats.org/officeDocument/2006/relationships/image" Target="media/image21.png"/><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9.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28.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7062E-CBA0-42B4-B906-F49389C4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2394</Words>
  <Characters>14368</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16729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 wlo</dc:creator>
  <cp:lastModifiedBy>Zach Ar</cp:lastModifiedBy>
  <cp:revision>2</cp:revision>
  <dcterms:created xsi:type="dcterms:W3CDTF">2020-05-13T11:38:00Z</dcterms:created>
  <dcterms:modified xsi:type="dcterms:W3CDTF">2020-05-13T11:38:00Z</dcterms:modified>
</cp:coreProperties>
</file>